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26" w:rsidRPr="00EB79FD" w:rsidRDefault="000A5A73" w:rsidP="00D91226">
      <w:pPr>
        <w:pStyle w:val="Title"/>
        <w:suppressLineNumbers/>
        <w:spacing w:after="0"/>
        <w:rPr>
          <w:szCs w:val="24"/>
        </w:rPr>
      </w:pPr>
      <w:r>
        <w:rPr>
          <w:caps w:val="0"/>
          <w:szCs w:val="24"/>
        </w:rPr>
        <w:t>Before t</w:t>
      </w:r>
      <w:r w:rsidR="00AE7F82" w:rsidRPr="00EB79FD">
        <w:rPr>
          <w:caps w:val="0"/>
          <w:szCs w:val="24"/>
        </w:rPr>
        <w:t>he</w:t>
      </w:r>
    </w:p>
    <w:p w:rsidR="00D91226" w:rsidRPr="00EB79FD" w:rsidRDefault="00D91226" w:rsidP="00D91226">
      <w:pPr>
        <w:pStyle w:val="Subtitle"/>
        <w:suppressLineNumbers/>
        <w:spacing w:after="0"/>
        <w:rPr>
          <w:b/>
          <w:szCs w:val="24"/>
        </w:rPr>
      </w:pPr>
      <w:r w:rsidRPr="00EB79FD">
        <w:rPr>
          <w:b/>
          <w:szCs w:val="24"/>
        </w:rPr>
        <w:t>Georgia Public Service Commission</w:t>
      </w:r>
    </w:p>
    <w:p w:rsidR="00D91226" w:rsidRPr="00EB79FD" w:rsidRDefault="00D91226" w:rsidP="00D91226">
      <w:pPr>
        <w:suppressLineNumbers/>
        <w:jc w:val="center"/>
      </w:pPr>
    </w:p>
    <w:p w:rsidR="00D91226" w:rsidRPr="00EB79FD" w:rsidRDefault="00D91226" w:rsidP="00D91226">
      <w:pPr>
        <w:suppressLineNumbers/>
        <w:jc w:val="center"/>
      </w:pPr>
    </w:p>
    <w:p w:rsidR="00022907" w:rsidRPr="00FC0D91" w:rsidRDefault="00022907" w:rsidP="00022907">
      <w:pPr>
        <w:rPr>
          <w:rFonts w:cs="Arial"/>
        </w:rPr>
      </w:pP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53"/>
        <w:gridCol w:w="517"/>
        <w:gridCol w:w="3446"/>
      </w:tblGrid>
      <w:tr w:rsidR="00D7382A" w:rsidRPr="00FC0D91" w:rsidTr="00A14FB0">
        <w:trPr>
          <w:trHeight w:val="1277"/>
        </w:trPr>
        <w:tc>
          <w:tcPr>
            <w:tcW w:w="4253" w:type="dxa"/>
          </w:tcPr>
          <w:p w:rsidR="00D7382A" w:rsidRDefault="00D7382A" w:rsidP="00A14FB0">
            <w:pPr>
              <w:suppressLineNumbers/>
              <w:rPr>
                <w:b/>
                <w:bCs/>
              </w:rPr>
            </w:pPr>
          </w:p>
          <w:p w:rsidR="00D7382A" w:rsidRPr="00EB79FD" w:rsidRDefault="00D7382A" w:rsidP="00A14FB0">
            <w:pPr>
              <w:suppressLineNumbers/>
              <w:rPr>
                <w:b/>
                <w:bCs/>
              </w:rPr>
            </w:pPr>
            <w:r w:rsidRPr="00EB79FD">
              <w:rPr>
                <w:b/>
                <w:bCs/>
              </w:rPr>
              <w:t>In Re:</w:t>
            </w:r>
          </w:p>
          <w:p w:rsidR="00D7382A" w:rsidRDefault="00D7382A" w:rsidP="00A14FB0">
            <w:pPr>
              <w:suppressLineNumbers/>
              <w:rPr>
                <w:b/>
                <w:szCs w:val="24"/>
              </w:rPr>
            </w:pPr>
            <w:r w:rsidRPr="00EB79FD">
              <w:rPr>
                <w:b/>
                <w:szCs w:val="24"/>
              </w:rPr>
              <w:t xml:space="preserve">Georgia Power Company’s </w:t>
            </w:r>
            <w:r>
              <w:rPr>
                <w:b/>
                <w:szCs w:val="24"/>
              </w:rPr>
              <w:t>Fuel Cost</w:t>
            </w:r>
          </w:p>
          <w:p w:rsidR="00D7382A" w:rsidRPr="000C7226" w:rsidRDefault="00D7382A" w:rsidP="00A14FB0">
            <w:pPr>
              <w:suppressLineNumbers/>
              <w:rPr>
                <w:b/>
                <w:szCs w:val="22"/>
              </w:rPr>
            </w:pPr>
            <w:r w:rsidRPr="000C7226">
              <w:rPr>
                <w:b/>
                <w:szCs w:val="22"/>
              </w:rPr>
              <w:t>Recovery (FCR) Application (FCR-24)</w:t>
            </w:r>
          </w:p>
        </w:tc>
        <w:tc>
          <w:tcPr>
            <w:tcW w:w="517" w:type="dxa"/>
          </w:tcPr>
          <w:p w:rsidR="00D7382A" w:rsidRDefault="00D7382A" w:rsidP="00A14FB0">
            <w:pPr>
              <w:suppressLineNumbers/>
              <w:rPr>
                <w:b/>
                <w:bCs/>
              </w:rPr>
            </w:pPr>
          </w:p>
          <w:p w:rsidR="00D7382A" w:rsidRPr="00EB79FD" w:rsidRDefault="00D7382A" w:rsidP="00A14FB0">
            <w:pPr>
              <w:suppressLineNumbers/>
              <w:rPr>
                <w:b/>
                <w:bCs/>
              </w:rPr>
            </w:pPr>
            <w:r w:rsidRPr="00EB79FD">
              <w:rPr>
                <w:b/>
                <w:bCs/>
              </w:rPr>
              <w:t>)</w:t>
            </w:r>
          </w:p>
          <w:p w:rsidR="00D7382A" w:rsidRPr="00EB79FD" w:rsidRDefault="00D7382A" w:rsidP="00A14FB0">
            <w:pPr>
              <w:suppressLineNumbers/>
              <w:rPr>
                <w:b/>
                <w:bCs/>
              </w:rPr>
            </w:pPr>
            <w:r w:rsidRPr="00EB79FD">
              <w:rPr>
                <w:b/>
                <w:bCs/>
              </w:rPr>
              <w:t>)</w:t>
            </w:r>
          </w:p>
          <w:p w:rsidR="00D7382A" w:rsidRPr="00EB79FD" w:rsidRDefault="00D7382A" w:rsidP="00A14FB0">
            <w:pPr>
              <w:suppressLineNumbers/>
              <w:rPr>
                <w:b/>
                <w:bCs/>
              </w:rPr>
            </w:pPr>
            <w:r w:rsidRPr="00EB79FD">
              <w:rPr>
                <w:b/>
                <w:bCs/>
              </w:rPr>
              <w:t>)</w:t>
            </w:r>
          </w:p>
          <w:p w:rsidR="00D7382A" w:rsidRDefault="00D7382A" w:rsidP="00A14FB0">
            <w:pPr>
              <w:suppressLineNumbers/>
              <w:rPr>
                <w:b/>
                <w:bCs/>
              </w:rPr>
            </w:pPr>
            <w:r w:rsidRPr="00EB79FD">
              <w:rPr>
                <w:b/>
                <w:bCs/>
              </w:rPr>
              <w:t>)</w:t>
            </w:r>
          </w:p>
          <w:p w:rsidR="00D7382A" w:rsidRPr="00EB79FD" w:rsidRDefault="00D7382A" w:rsidP="00A14FB0">
            <w:pPr>
              <w:suppressLineNumbers/>
              <w:rPr>
                <w:b/>
                <w:bCs/>
              </w:rPr>
            </w:pPr>
          </w:p>
        </w:tc>
        <w:tc>
          <w:tcPr>
            <w:tcW w:w="3446" w:type="dxa"/>
          </w:tcPr>
          <w:p w:rsidR="00D7382A" w:rsidRPr="00EB79FD" w:rsidRDefault="00D7382A" w:rsidP="00A14FB0">
            <w:pPr>
              <w:suppressLineNumbers/>
              <w:rPr>
                <w:b/>
                <w:bCs/>
              </w:rPr>
            </w:pPr>
          </w:p>
          <w:p w:rsidR="00D7382A" w:rsidRPr="00EB79FD" w:rsidRDefault="00D7382A" w:rsidP="00A14FB0">
            <w:pPr>
              <w:suppressLineNumbers/>
              <w:rPr>
                <w:b/>
                <w:bCs/>
              </w:rPr>
            </w:pPr>
          </w:p>
          <w:p w:rsidR="00D7382A" w:rsidRPr="00EB79FD" w:rsidRDefault="00D7382A" w:rsidP="00A14FB0">
            <w:pPr>
              <w:pStyle w:val="Heading9"/>
              <w:numPr>
                <w:ilvl w:val="0"/>
                <w:numId w:val="0"/>
              </w:numPr>
              <w:suppressLineNumbers/>
              <w:ind w:right="-108"/>
              <w:jc w:val="center"/>
              <w:rPr>
                <w:b/>
                <w:i/>
                <w:szCs w:val="24"/>
              </w:rPr>
            </w:pPr>
            <w:r w:rsidRPr="00EB79FD">
              <w:rPr>
                <w:b/>
                <w:szCs w:val="24"/>
              </w:rPr>
              <w:t>Docket No.  3</w:t>
            </w:r>
            <w:r>
              <w:rPr>
                <w:b/>
                <w:szCs w:val="24"/>
              </w:rPr>
              <w:t>9638</w:t>
            </w:r>
          </w:p>
          <w:p w:rsidR="00D7382A" w:rsidRPr="00EB79FD" w:rsidRDefault="00D7382A" w:rsidP="00A14FB0">
            <w:pPr>
              <w:suppressLineNumbers/>
              <w:rPr>
                <w:b/>
                <w:bCs/>
              </w:rPr>
            </w:pPr>
          </w:p>
        </w:tc>
      </w:tr>
    </w:tbl>
    <w:p w:rsidR="00022907" w:rsidRDefault="00022907" w:rsidP="00022907">
      <w:pPr>
        <w:jc w:val="both"/>
        <w:rPr>
          <w:color w:val="000000"/>
        </w:rPr>
      </w:pPr>
    </w:p>
    <w:p w:rsidR="00103E91" w:rsidRDefault="00103E91" w:rsidP="00022907">
      <w:pPr>
        <w:jc w:val="both"/>
        <w:rPr>
          <w:color w:val="000000"/>
        </w:rPr>
      </w:pPr>
    </w:p>
    <w:p w:rsidR="00103E91" w:rsidRDefault="00103E91" w:rsidP="00022907">
      <w:pPr>
        <w:jc w:val="both"/>
        <w:rPr>
          <w:color w:val="000000"/>
        </w:rPr>
      </w:pPr>
    </w:p>
    <w:p w:rsidR="00103E91" w:rsidRDefault="00103E91" w:rsidP="00022907">
      <w:pPr>
        <w:jc w:val="both"/>
        <w:rPr>
          <w:color w:val="000000"/>
        </w:rPr>
      </w:pPr>
    </w:p>
    <w:p w:rsidR="00206894" w:rsidRPr="004D023C" w:rsidRDefault="0094562D" w:rsidP="00022907">
      <w:pPr>
        <w:jc w:val="center"/>
        <w:rPr>
          <w:b/>
        </w:rPr>
      </w:pPr>
      <w:r>
        <w:rPr>
          <w:b/>
        </w:rPr>
        <w:t>PUBLIC DISCLOSURE</w:t>
      </w:r>
    </w:p>
    <w:p w:rsidR="00206894" w:rsidRDefault="00206894" w:rsidP="00022907">
      <w:pPr>
        <w:jc w:val="center"/>
        <w:rPr>
          <w:color w:val="000000"/>
        </w:rPr>
      </w:pPr>
    </w:p>
    <w:p w:rsidR="00022907" w:rsidRPr="00877CC5" w:rsidRDefault="00133CFF" w:rsidP="00022907">
      <w:pPr>
        <w:jc w:val="center"/>
        <w:rPr>
          <w:color w:val="000000"/>
          <w:szCs w:val="22"/>
        </w:rPr>
      </w:pPr>
      <w:r>
        <w:rPr>
          <w:color w:val="000000"/>
        </w:rPr>
        <w:t>Direct Testimony and Exhibit</w:t>
      </w:r>
      <w:r w:rsidR="009D3570">
        <w:rPr>
          <w:color w:val="000000"/>
        </w:rPr>
        <w:t>s</w:t>
      </w:r>
    </w:p>
    <w:p w:rsidR="00022907" w:rsidRDefault="00022907" w:rsidP="00022907">
      <w:pPr>
        <w:jc w:val="center"/>
        <w:rPr>
          <w:b/>
          <w:color w:val="000000"/>
        </w:rPr>
      </w:pPr>
    </w:p>
    <w:p w:rsidR="00022907" w:rsidRPr="005B5D8B" w:rsidRDefault="00022907" w:rsidP="00022907">
      <w:pPr>
        <w:jc w:val="center"/>
        <w:rPr>
          <w:color w:val="000000"/>
        </w:rPr>
      </w:pPr>
      <w:r w:rsidRPr="005B5D8B">
        <w:rPr>
          <w:color w:val="000000"/>
        </w:rPr>
        <w:t>of</w:t>
      </w:r>
    </w:p>
    <w:p w:rsidR="00022907" w:rsidRDefault="00022907" w:rsidP="00022907">
      <w:pPr>
        <w:jc w:val="center"/>
        <w:rPr>
          <w:b/>
          <w:color w:val="000000"/>
        </w:rPr>
      </w:pPr>
    </w:p>
    <w:p w:rsidR="00022907" w:rsidRDefault="00022907" w:rsidP="00022907">
      <w:pPr>
        <w:jc w:val="center"/>
        <w:rPr>
          <w:b/>
          <w:color w:val="000000"/>
        </w:rPr>
      </w:pPr>
      <w:r>
        <w:rPr>
          <w:b/>
          <w:color w:val="000000"/>
        </w:rPr>
        <w:t>JEFFRY POLLOCK</w:t>
      </w:r>
    </w:p>
    <w:p w:rsidR="00022907" w:rsidRPr="00A7198F" w:rsidRDefault="00022907" w:rsidP="00022907">
      <w:pPr>
        <w:jc w:val="center"/>
        <w:rPr>
          <w:b/>
          <w:color w:val="000000"/>
        </w:rPr>
      </w:pPr>
    </w:p>
    <w:p w:rsidR="00022907" w:rsidRDefault="00022907" w:rsidP="00022907">
      <w:pPr>
        <w:jc w:val="center"/>
        <w:rPr>
          <w:color w:val="000000"/>
        </w:rPr>
      </w:pPr>
    </w:p>
    <w:p w:rsidR="00022907" w:rsidRDefault="00022907" w:rsidP="00022907">
      <w:pPr>
        <w:jc w:val="center"/>
        <w:rPr>
          <w:color w:val="000000"/>
        </w:rPr>
      </w:pPr>
    </w:p>
    <w:p w:rsidR="00022907" w:rsidRDefault="00022907" w:rsidP="00022907">
      <w:pPr>
        <w:jc w:val="center"/>
        <w:rPr>
          <w:color w:val="000000"/>
        </w:rPr>
      </w:pPr>
    </w:p>
    <w:p w:rsidR="00022907" w:rsidRDefault="00022907" w:rsidP="00022907">
      <w:pPr>
        <w:jc w:val="center"/>
        <w:rPr>
          <w:color w:val="000000"/>
        </w:rPr>
      </w:pPr>
    </w:p>
    <w:p w:rsidR="00022907" w:rsidRDefault="00022907" w:rsidP="00022907">
      <w:pPr>
        <w:jc w:val="center"/>
        <w:rPr>
          <w:color w:val="000000"/>
          <w:sz w:val="20"/>
        </w:rPr>
      </w:pPr>
      <w:r>
        <w:rPr>
          <w:color w:val="000000"/>
          <w:sz w:val="20"/>
        </w:rPr>
        <w:t>On Behalf of</w:t>
      </w:r>
    </w:p>
    <w:p w:rsidR="00022907" w:rsidRDefault="00022907" w:rsidP="00022907">
      <w:pPr>
        <w:jc w:val="center"/>
        <w:rPr>
          <w:b/>
          <w:color w:val="000000"/>
        </w:rPr>
      </w:pPr>
    </w:p>
    <w:p w:rsidR="003338E1" w:rsidRPr="002B5FC3" w:rsidRDefault="003338E1" w:rsidP="003338E1">
      <w:pPr>
        <w:suppressLineNumbers/>
        <w:jc w:val="center"/>
        <w:rPr>
          <w:b/>
          <w:color w:val="000000"/>
          <w:szCs w:val="24"/>
        </w:rPr>
      </w:pPr>
      <w:r w:rsidRPr="002B5FC3">
        <w:rPr>
          <w:b/>
          <w:color w:val="000000"/>
          <w:szCs w:val="24"/>
        </w:rPr>
        <w:t xml:space="preserve">Georgia Industrial Group </w:t>
      </w:r>
    </w:p>
    <w:p w:rsidR="003338E1" w:rsidRPr="002B5FC3" w:rsidRDefault="003338E1" w:rsidP="003338E1">
      <w:pPr>
        <w:suppressLineNumbers/>
        <w:jc w:val="center"/>
        <w:rPr>
          <w:b/>
          <w:color w:val="000000"/>
          <w:szCs w:val="24"/>
        </w:rPr>
      </w:pPr>
      <w:r w:rsidRPr="002B5FC3">
        <w:rPr>
          <w:b/>
          <w:color w:val="000000"/>
          <w:szCs w:val="24"/>
        </w:rPr>
        <w:t>and</w:t>
      </w:r>
    </w:p>
    <w:p w:rsidR="003338E1" w:rsidRPr="002B5FC3" w:rsidRDefault="00700D11" w:rsidP="003338E1">
      <w:pPr>
        <w:suppressLineNumbers/>
        <w:jc w:val="center"/>
        <w:rPr>
          <w:b/>
          <w:color w:val="000000"/>
          <w:szCs w:val="24"/>
        </w:rPr>
      </w:pPr>
      <w:r>
        <w:rPr>
          <w:b/>
          <w:color w:val="000000"/>
          <w:szCs w:val="24"/>
        </w:rPr>
        <w:t>Georgia Association of</w:t>
      </w:r>
      <w:r w:rsidR="003338E1" w:rsidRPr="002B5FC3">
        <w:rPr>
          <w:b/>
          <w:color w:val="000000"/>
          <w:szCs w:val="24"/>
        </w:rPr>
        <w:t xml:space="preserve"> M</w:t>
      </w:r>
      <w:r>
        <w:rPr>
          <w:b/>
          <w:color w:val="000000"/>
          <w:szCs w:val="24"/>
        </w:rPr>
        <w:t>anufacturers</w:t>
      </w:r>
    </w:p>
    <w:p w:rsidR="00022907" w:rsidRDefault="00022907" w:rsidP="00022907">
      <w:pPr>
        <w:jc w:val="center"/>
        <w:rPr>
          <w:b/>
          <w:color w:val="000000"/>
        </w:rPr>
      </w:pPr>
    </w:p>
    <w:p w:rsidR="00022907" w:rsidRDefault="00022907" w:rsidP="00022907">
      <w:pPr>
        <w:jc w:val="center"/>
        <w:rPr>
          <w:b/>
          <w:color w:val="000000"/>
        </w:rPr>
      </w:pPr>
    </w:p>
    <w:p w:rsidR="00022907" w:rsidRDefault="00022907" w:rsidP="00022907">
      <w:pPr>
        <w:jc w:val="center"/>
        <w:rPr>
          <w:b/>
          <w:color w:val="000000"/>
        </w:rPr>
      </w:pPr>
    </w:p>
    <w:p w:rsidR="00022907" w:rsidRDefault="00022907" w:rsidP="00022907">
      <w:pPr>
        <w:jc w:val="center"/>
        <w:rPr>
          <w:b/>
          <w:color w:val="000000"/>
        </w:rPr>
      </w:pPr>
    </w:p>
    <w:p w:rsidR="00372609" w:rsidRDefault="00372609" w:rsidP="00022907">
      <w:pPr>
        <w:jc w:val="center"/>
        <w:rPr>
          <w:b/>
          <w:color w:val="000000"/>
        </w:rPr>
      </w:pPr>
    </w:p>
    <w:p w:rsidR="00372609" w:rsidRDefault="00372609" w:rsidP="00022907">
      <w:pPr>
        <w:jc w:val="center"/>
        <w:rPr>
          <w:b/>
          <w:color w:val="000000"/>
        </w:rPr>
      </w:pPr>
    </w:p>
    <w:p w:rsidR="00022907" w:rsidRDefault="00022907" w:rsidP="00022907">
      <w:pPr>
        <w:jc w:val="center"/>
        <w:rPr>
          <w:b/>
          <w:color w:val="000000"/>
        </w:rPr>
      </w:pPr>
    </w:p>
    <w:p w:rsidR="00022907" w:rsidRDefault="00022907" w:rsidP="00022907">
      <w:pPr>
        <w:jc w:val="center"/>
        <w:rPr>
          <w:b/>
          <w:color w:val="000000"/>
        </w:rPr>
      </w:pPr>
    </w:p>
    <w:p w:rsidR="00022907" w:rsidRDefault="00022907" w:rsidP="00022907">
      <w:pPr>
        <w:jc w:val="center"/>
        <w:rPr>
          <w:b/>
          <w:color w:val="000000"/>
        </w:rPr>
      </w:pPr>
    </w:p>
    <w:p w:rsidR="00022907" w:rsidRDefault="00ED4371" w:rsidP="00022907">
      <w:pPr>
        <w:jc w:val="center"/>
        <w:rPr>
          <w:color w:val="000000"/>
        </w:rPr>
      </w:pPr>
      <w:r>
        <w:rPr>
          <w:color w:val="000000"/>
        </w:rPr>
        <w:t>November 4, 2015</w:t>
      </w:r>
    </w:p>
    <w:p w:rsidR="003338E1" w:rsidRPr="00877CC5" w:rsidRDefault="003338E1" w:rsidP="00022907">
      <w:pPr>
        <w:jc w:val="center"/>
        <w:rPr>
          <w:color w:val="000000"/>
          <w:szCs w:val="22"/>
        </w:rPr>
      </w:pPr>
    </w:p>
    <w:p w:rsidR="00022907" w:rsidRDefault="005B4E8D" w:rsidP="00022907">
      <w:pPr>
        <w:jc w:val="center"/>
        <w:rPr>
          <w:color w:val="000000"/>
        </w:rPr>
      </w:pPr>
      <w:r>
        <w:rPr>
          <w:noProof/>
          <w:color w:val="000000"/>
        </w:rPr>
        <w:drawing>
          <wp:inline distT="0" distB="0" distL="0" distR="0">
            <wp:extent cx="1828800" cy="1181100"/>
            <wp:effectExtent l="19050" t="0" r="0" b="0"/>
            <wp:docPr id="1" name="Picture 1" descr="JPI New Image - 8-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PI New Image - 8-1-07"/>
                    <pic:cNvPicPr>
                      <a:picLocks noChangeAspect="1" noChangeArrowheads="1"/>
                    </pic:cNvPicPr>
                  </pic:nvPicPr>
                  <pic:blipFill>
                    <a:blip r:embed="rId9" cstate="print"/>
                    <a:srcRect/>
                    <a:stretch>
                      <a:fillRect/>
                    </a:stretch>
                  </pic:blipFill>
                  <pic:spPr bwMode="auto">
                    <a:xfrm>
                      <a:off x="0" y="0"/>
                      <a:ext cx="1828800" cy="1181100"/>
                    </a:xfrm>
                    <a:prstGeom prst="rect">
                      <a:avLst/>
                    </a:prstGeom>
                    <a:noFill/>
                    <a:ln w="9525">
                      <a:noFill/>
                      <a:miter lim="800000"/>
                      <a:headEnd/>
                      <a:tailEnd/>
                    </a:ln>
                  </pic:spPr>
                </pic:pic>
              </a:graphicData>
            </a:graphic>
          </wp:inline>
        </w:drawing>
      </w:r>
    </w:p>
    <w:p w:rsidR="00022907" w:rsidRDefault="00022907" w:rsidP="0075624C">
      <w:pPr>
        <w:pStyle w:val="Heading1"/>
        <w:sectPr w:rsidR="00022907" w:rsidSect="00297BB2">
          <w:headerReference w:type="default" r:id="rId10"/>
          <w:pgSz w:w="12240" w:h="15840" w:code="1"/>
          <w:pgMar w:top="1440" w:right="1440" w:bottom="1440" w:left="1800" w:header="720" w:footer="720" w:gutter="0"/>
          <w:paperSrc w:first="7" w:other="7"/>
          <w:cols w:space="720"/>
          <w:titlePg/>
          <w:docGrid w:linePitch="299"/>
        </w:sectPr>
      </w:pP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53"/>
        <w:gridCol w:w="517"/>
        <w:gridCol w:w="3446"/>
      </w:tblGrid>
      <w:tr w:rsidR="00ED4371" w:rsidRPr="00FC0D91" w:rsidTr="003338E1">
        <w:trPr>
          <w:trHeight w:val="1277"/>
        </w:trPr>
        <w:tc>
          <w:tcPr>
            <w:tcW w:w="4253" w:type="dxa"/>
          </w:tcPr>
          <w:p w:rsidR="00ED4371" w:rsidRDefault="00ED4371" w:rsidP="00ED4371">
            <w:pPr>
              <w:suppressLineNumbers/>
              <w:rPr>
                <w:b/>
                <w:bCs/>
              </w:rPr>
            </w:pPr>
          </w:p>
          <w:p w:rsidR="00ED4371" w:rsidRPr="00EB79FD" w:rsidRDefault="00ED4371" w:rsidP="00ED4371">
            <w:pPr>
              <w:suppressLineNumbers/>
              <w:rPr>
                <w:b/>
                <w:bCs/>
              </w:rPr>
            </w:pPr>
            <w:r w:rsidRPr="00EB79FD">
              <w:rPr>
                <w:b/>
                <w:bCs/>
              </w:rPr>
              <w:t>In Re:</w:t>
            </w:r>
          </w:p>
          <w:p w:rsidR="00ED4371" w:rsidRDefault="00ED4371" w:rsidP="00ED4371">
            <w:pPr>
              <w:suppressLineNumbers/>
              <w:rPr>
                <w:b/>
                <w:szCs w:val="24"/>
              </w:rPr>
            </w:pPr>
            <w:r w:rsidRPr="00EB79FD">
              <w:rPr>
                <w:b/>
                <w:szCs w:val="24"/>
              </w:rPr>
              <w:t xml:space="preserve">Georgia Power Company’s </w:t>
            </w:r>
            <w:r>
              <w:rPr>
                <w:b/>
                <w:szCs w:val="24"/>
              </w:rPr>
              <w:t>Fuel Cost</w:t>
            </w:r>
          </w:p>
          <w:p w:rsidR="00ED4371" w:rsidRPr="000C7226" w:rsidRDefault="00ED4371" w:rsidP="00ED4371">
            <w:pPr>
              <w:suppressLineNumbers/>
              <w:rPr>
                <w:b/>
                <w:szCs w:val="22"/>
              </w:rPr>
            </w:pPr>
            <w:r w:rsidRPr="000C7226">
              <w:rPr>
                <w:b/>
                <w:szCs w:val="22"/>
              </w:rPr>
              <w:t>Recovery (FCR) Application (FCR-24)</w:t>
            </w:r>
          </w:p>
        </w:tc>
        <w:tc>
          <w:tcPr>
            <w:tcW w:w="517" w:type="dxa"/>
          </w:tcPr>
          <w:p w:rsidR="00ED4371" w:rsidRDefault="00ED4371" w:rsidP="00ED4371">
            <w:pPr>
              <w:suppressLineNumbers/>
              <w:rPr>
                <w:b/>
                <w:bCs/>
              </w:rPr>
            </w:pPr>
          </w:p>
          <w:p w:rsidR="00ED4371" w:rsidRPr="00EB79FD" w:rsidRDefault="00ED4371" w:rsidP="00ED4371">
            <w:pPr>
              <w:suppressLineNumbers/>
              <w:rPr>
                <w:b/>
                <w:bCs/>
              </w:rPr>
            </w:pPr>
            <w:r w:rsidRPr="00EB79FD">
              <w:rPr>
                <w:b/>
                <w:bCs/>
              </w:rPr>
              <w:t>)</w:t>
            </w:r>
          </w:p>
          <w:p w:rsidR="00ED4371" w:rsidRPr="00EB79FD" w:rsidRDefault="00ED4371" w:rsidP="00ED4371">
            <w:pPr>
              <w:suppressLineNumbers/>
              <w:rPr>
                <w:b/>
                <w:bCs/>
              </w:rPr>
            </w:pPr>
            <w:r w:rsidRPr="00EB79FD">
              <w:rPr>
                <w:b/>
                <w:bCs/>
              </w:rPr>
              <w:t>)</w:t>
            </w:r>
          </w:p>
          <w:p w:rsidR="00ED4371" w:rsidRPr="00EB79FD" w:rsidRDefault="00ED4371" w:rsidP="00ED4371">
            <w:pPr>
              <w:suppressLineNumbers/>
              <w:rPr>
                <w:b/>
                <w:bCs/>
              </w:rPr>
            </w:pPr>
            <w:r w:rsidRPr="00EB79FD">
              <w:rPr>
                <w:b/>
                <w:bCs/>
              </w:rPr>
              <w:t>)</w:t>
            </w:r>
          </w:p>
          <w:p w:rsidR="00ED4371" w:rsidRDefault="00ED4371" w:rsidP="00ED4371">
            <w:pPr>
              <w:suppressLineNumbers/>
              <w:rPr>
                <w:b/>
                <w:bCs/>
              </w:rPr>
            </w:pPr>
            <w:r w:rsidRPr="00EB79FD">
              <w:rPr>
                <w:b/>
                <w:bCs/>
              </w:rPr>
              <w:t>)</w:t>
            </w:r>
          </w:p>
          <w:p w:rsidR="00ED4371" w:rsidRPr="00EB79FD" w:rsidRDefault="00ED4371" w:rsidP="00ED4371">
            <w:pPr>
              <w:suppressLineNumbers/>
              <w:rPr>
                <w:b/>
                <w:bCs/>
              </w:rPr>
            </w:pPr>
          </w:p>
        </w:tc>
        <w:tc>
          <w:tcPr>
            <w:tcW w:w="3446" w:type="dxa"/>
          </w:tcPr>
          <w:p w:rsidR="00ED4371" w:rsidRPr="00EB79FD" w:rsidRDefault="00ED4371" w:rsidP="00ED4371">
            <w:pPr>
              <w:suppressLineNumbers/>
              <w:rPr>
                <w:b/>
                <w:bCs/>
              </w:rPr>
            </w:pPr>
          </w:p>
          <w:p w:rsidR="00ED4371" w:rsidRPr="00EB79FD" w:rsidRDefault="00ED4371" w:rsidP="00ED4371">
            <w:pPr>
              <w:suppressLineNumbers/>
              <w:rPr>
                <w:b/>
                <w:bCs/>
              </w:rPr>
            </w:pPr>
          </w:p>
          <w:p w:rsidR="00ED4371" w:rsidRPr="00EB79FD" w:rsidRDefault="00ED4371" w:rsidP="00ED4371">
            <w:pPr>
              <w:pStyle w:val="Heading9"/>
              <w:numPr>
                <w:ilvl w:val="0"/>
                <w:numId w:val="0"/>
              </w:numPr>
              <w:suppressLineNumbers/>
              <w:ind w:right="-108"/>
              <w:jc w:val="center"/>
              <w:rPr>
                <w:b/>
                <w:i/>
                <w:szCs w:val="24"/>
              </w:rPr>
            </w:pPr>
            <w:r w:rsidRPr="00EB79FD">
              <w:rPr>
                <w:b/>
                <w:szCs w:val="24"/>
              </w:rPr>
              <w:t>Docket No.  3</w:t>
            </w:r>
            <w:r>
              <w:rPr>
                <w:b/>
                <w:szCs w:val="24"/>
              </w:rPr>
              <w:t>9638</w:t>
            </w:r>
          </w:p>
          <w:p w:rsidR="00ED4371" w:rsidRPr="00EB79FD" w:rsidRDefault="00ED4371" w:rsidP="00ED4371">
            <w:pPr>
              <w:suppressLineNumbers/>
              <w:rPr>
                <w:b/>
                <w:bCs/>
              </w:rPr>
            </w:pPr>
          </w:p>
        </w:tc>
      </w:tr>
    </w:tbl>
    <w:p w:rsidR="00022907" w:rsidRPr="00FC0D91" w:rsidRDefault="005A2EAE" w:rsidP="005A2EAE">
      <w:pPr>
        <w:tabs>
          <w:tab w:val="left" w:pos="6029"/>
        </w:tabs>
        <w:rPr>
          <w:rFonts w:cs="Arial"/>
        </w:rPr>
      </w:pPr>
      <w:r>
        <w:rPr>
          <w:rFonts w:cs="Arial"/>
        </w:rPr>
        <w:tab/>
      </w:r>
    </w:p>
    <w:p w:rsidR="00022907" w:rsidRDefault="00022907" w:rsidP="00022907"/>
    <w:p w:rsidR="00022907" w:rsidRDefault="00022907" w:rsidP="00DC43C0">
      <w:pPr>
        <w:pStyle w:val="Heading1"/>
        <w:spacing w:after="0"/>
      </w:pPr>
      <w:bookmarkStart w:id="0" w:name="_Toc263425172"/>
      <w:bookmarkStart w:id="1" w:name="_Toc263428243"/>
      <w:bookmarkStart w:id="2" w:name="_Toc263428671"/>
      <w:bookmarkStart w:id="3" w:name="_Toc263505958"/>
      <w:bookmarkStart w:id="4" w:name="_Toc263771849"/>
      <w:bookmarkStart w:id="5" w:name="_Toc271101206"/>
      <w:bookmarkStart w:id="6" w:name="_Toc271102011"/>
      <w:bookmarkStart w:id="7" w:name="_Toc434238603"/>
      <w:r>
        <w:t>Table of Contents</w:t>
      </w:r>
      <w:bookmarkEnd w:id="0"/>
      <w:bookmarkEnd w:id="1"/>
      <w:bookmarkEnd w:id="2"/>
      <w:bookmarkEnd w:id="3"/>
      <w:bookmarkEnd w:id="4"/>
      <w:bookmarkEnd w:id="5"/>
      <w:bookmarkEnd w:id="6"/>
      <w:bookmarkEnd w:id="7"/>
    </w:p>
    <w:p w:rsidR="006527BA" w:rsidRPr="006527BA" w:rsidRDefault="0009078F" w:rsidP="006527BA">
      <w:pPr>
        <w:pStyle w:val="TOC1"/>
        <w:spacing w:line="480" w:lineRule="auto"/>
        <w:rPr>
          <w:rFonts w:asciiTheme="minorHAnsi" w:eastAsiaTheme="minorEastAsia" w:hAnsiTheme="minorHAnsi" w:cstheme="minorBidi"/>
          <w:caps/>
          <w:szCs w:val="22"/>
        </w:rPr>
      </w:pPr>
      <w:r>
        <w:rPr>
          <w:b/>
          <w:bCs/>
        </w:rPr>
        <w:fldChar w:fldCharType="begin"/>
      </w:r>
      <w:r w:rsidR="00DB17C2">
        <w:rPr>
          <w:b/>
          <w:bCs/>
        </w:rPr>
        <w:instrText xml:space="preserve"> TOC \o "1-3" \h \z \u </w:instrText>
      </w:r>
      <w:r>
        <w:rPr>
          <w:b/>
          <w:bCs/>
        </w:rPr>
        <w:fldChar w:fldCharType="separate"/>
      </w:r>
      <w:hyperlink w:anchor="_Toc434238603" w:history="1">
        <w:r w:rsidR="006527BA" w:rsidRPr="006527BA">
          <w:rPr>
            <w:rStyle w:val="Hyperlink"/>
            <w:caps/>
          </w:rPr>
          <w:t>Table of Contents</w:t>
        </w:r>
        <w:r w:rsidR="006527BA" w:rsidRPr="006527BA">
          <w:rPr>
            <w:caps/>
            <w:webHidden/>
          </w:rPr>
          <w:tab/>
        </w:r>
        <w:r w:rsidR="006527BA" w:rsidRPr="006527BA">
          <w:rPr>
            <w:caps/>
            <w:webHidden/>
          </w:rPr>
          <w:fldChar w:fldCharType="begin"/>
        </w:r>
        <w:r w:rsidR="006527BA" w:rsidRPr="006527BA">
          <w:rPr>
            <w:caps/>
            <w:webHidden/>
          </w:rPr>
          <w:instrText xml:space="preserve"> PAGEREF _Toc434238603 \h </w:instrText>
        </w:r>
        <w:r w:rsidR="006527BA" w:rsidRPr="006527BA">
          <w:rPr>
            <w:caps/>
            <w:webHidden/>
          </w:rPr>
        </w:r>
        <w:r w:rsidR="006527BA" w:rsidRPr="006527BA">
          <w:rPr>
            <w:caps/>
            <w:webHidden/>
          </w:rPr>
          <w:fldChar w:fldCharType="separate"/>
        </w:r>
        <w:r w:rsidR="00082FD6">
          <w:rPr>
            <w:caps/>
            <w:webHidden/>
          </w:rPr>
          <w:t>1</w:t>
        </w:r>
        <w:r w:rsidR="006527BA" w:rsidRPr="006527BA">
          <w:rPr>
            <w:caps/>
            <w:webHidden/>
          </w:rPr>
          <w:fldChar w:fldCharType="end"/>
        </w:r>
      </w:hyperlink>
    </w:p>
    <w:p w:rsidR="006527BA" w:rsidRPr="006527BA" w:rsidRDefault="0094562D" w:rsidP="006527BA">
      <w:pPr>
        <w:pStyle w:val="TOC1"/>
        <w:spacing w:line="480" w:lineRule="auto"/>
        <w:rPr>
          <w:rFonts w:asciiTheme="minorHAnsi" w:eastAsiaTheme="minorEastAsia" w:hAnsiTheme="minorHAnsi" w:cstheme="minorBidi"/>
          <w:caps/>
          <w:szCs w:val="22"/>
        </w:rPr>
      </w:pPr>
      <w:hyperlink w:anchor="_Toc434238604" w:history="1">
        <w:r w:rsidR="006527BA" w:rsidRPr="006527BA">
          <w:rPr>
            <w:rStyle w:val="Hyperlink"/>
            <w:caps/>
          </w:rPr>
          <w:t>Exhibit List</w:t>
        </w:r>
        <w:r w:rsidR="006527BA" w:rsidRPr="006527BA">
          <w:rPr>
            <w:caps/>
            <w:webHidden/>
          </w:rPr>
          <w:tab/>
        </w:r>
        <w:r w:rsidR="006527BA" w:rsidRPr="006527BA">
          <w:rPr>
            <w:caps/>
            <w:webHidden/>
          </w:rPr>
          <w:fldChar w:fldCharType="begin"/>
        </w:r>
        <w:r w:rsidR="006527BA" w:rsidRPr="006527BA">
          <w:rPr>
            <w:caps/>
            <w:webHidden/>
          </w:rPr>
          <w:instrText xml:space="preserve"> PAGEREF _Toc434238604 \h </w:instrText>
        </w:r>
        <w:r w:rsidR="006527BA" w:rsidRPr="006527BA">
          <w:rPr>
            <w:caps/>
            <w:webHidden/>
          </w:rPr>
        </w:r>
        <w:r w:rsidR="006527BA" w:rsidRPr="006527BA">
          <w:rPr>
            <w:caps/>
            <w:webHidden/>
          </w:rPr>
          <w:fldChar w:fldCharType="separate"/>
        </w:r>
        <w:r w:rsidR="00082FD6">
          <w:rPr>
            <w:caps/>
            <w:webHidden/>
          </w:rPr>
          <w:t>2</w:t>
        </w:r>
        <w:r w:rsidR="006527BA" w:rsidRPr="006527BA">
          <w:rPr>
            <w:caps/>
            <w:webHidden/>
          </w:rPr>
          <w:fldChar w:fldCharType="end"/>
        </w:r>
      </w:hyperlink>
    </w:p>
    <w:p w:rsidR="006527BA" w:rsidRPr="006527BA" w:rsidRDefault="0094562D" w:rsidP="006527BA">
      <w:pPr>
        <w:pStyle w:val="TOC1"/>
        <w:spacing w:line="480" w:lineRule="auto"/>
        <w:rPr>
          <w:rFonts w:asciiTheme="minorHAnsi" w:eastAsiaTheme="minorEastAsia" w:hAnsiTheme="minorHAnsi" w:cstheme="minorBidi"/>
          <w:caps/>
          <w:szCs w:val="22"/>
        </w:rPr>
      </w:pPr>
      <w:hyperlink w:anchor="_Toc434238605" w:history="1">
        <w:r w:rsidR="006527BA" w:rsidRPr="006527BA">
          <w:rPr>
            <w:rStyle w:val="Hyperlink"/>
            <w:caps/>
          </w:rPr>
          <w:t>Glossary of Acronyms</w:t>
        </w:r>
        <w:r w:rsidR="006527BA" w:rsidRPr="006527BA">
          <w:rPr>
            <w:caps/>
            <w:webHidden/>
          </w:rPr>
          <w:tab/>
        </w:r>
        <w:r w:rsidR="006527BA" w:rsidRPr="006527BA">
          <w:rPr>
            <w:caps/>
            <w:webHidden/>
          </w:rPr>
          <w:fldChar w:fldCharType="begin"/>
        </w:r>
        <w:r w:rsidR="006527BA" w:rsidRPr="006527BA">
          <w:rPr>
            <w:caps/>
            <w:webHidden/>
          </w:rPr>
          <w:instrText xml:space="preserve"> PAGEREF _Toc434238605 \h </w:instrText>
        </w:r>
        <w:r w:rsidR="006527BA" w:rsidRPr="006527BA">
          <w:rPr>
            <w:caps/>
            <w:webHidden/>
          </w:rPr>
        </w:r>
        <w:r w:rsidR="006527BA" w:rsidRPr="006527BA">
          <w:rPr>
            <w:caps/>
            <w:webHidden/>
          </w:rPr>
          <w:fldChar w:fldCharType="separate"/>
        </w:r>
        <w:r w:rsidR="00082FD6">
          <w:rPr>
            <w:caps/>
            <w:webHidden/>
          </w:rPr>
          <w:t>3</w:t>
        </w:r>
        <w:r w:rsidR="006527BA" w:rsidRPr="006527BA">
          <w:rPr>
            <w:caps/>
            <w:webHidden/>
          </w:rPr>
          <w:fldChar w:fldCharType="end"/>
        </w:r>
      </w:hyperlink>
    </w:p>
    <w:p w:rsidR="006527BA" w:rsidRPr="006527BA" w:rsidRDefault="0094562D" w:rsidP="006527BA">
      <w:pPr>
        <w:pStyle w:val="TOC1"/>
        <w:spacing w:line="480" w:lineRule="auto"/>
        <w:rPr>
          <w:rFonts w:asciiTheme="minorHAnsi" w:eastAsiaTheme="minorEastAsia" w:hAnsiTheme="minorHAnsi" w:cstheme="minorBidi"/>
          <w:caps/>
          <w:szCs w:val="22"/>
        </w:rPr>
      </w:pPr>
      <w:hyperlink w:anchor="_Toc434238606" w:history="1">
        <w:r w:rsidR="006527BA" w:rsidRPr="006527BA">
          <w:rPr>
            <w:rStyle w:val="Hyperlink"/>
            <w:caps/>
          </w:rPr>
          <w:t>Direct Testimony of Jeffry Pollock</w:t>
        </w:r>
        <w:r w:rsidR="006527BA" w:rsidRPr="006527BA">
          <w:rPr>
            <w:caps/>
            <w:webHidden/>
          </w:rPr>
          <w:tab/>
        </w:r>
        <w:r w:rsidR="006527BA" w:rsidRPr="006527BA">
          <w:rPr>
            <w:caps/>
            <w:webHidden/>
          </w:rPr>
          <w:fldChar w:fldCharType="begin"/>
        </w:r>
        <w:r w:rsidR="006527BA" w:rsidRPr="006527BA">
          <w:rPr>
            <w:caps/>
            <w:webHidden/>
          </w:rPr>
          <w:instrText xml:space="preserve"> PAGEREF _Toc434238606 \h </w:instrText>
        </w:r>
        <w:r w:rsidR="006527BA" w:rsidRPr="006527BA">
          <w:rPr>
            <w:caps/>
            <w:webHidden/>
          </w:rPr>
        </w:r>
        <w:r w:rsidR="006527BA" w:rsidRPr="006527BA">
          <w:rPr>
            <w:caps/>
            <w:webHidden/>
          </w:rPr>
          <w:fldChar w:fldCharType="separate"/>
        </w:r>
        <w:r w:rsidR="00082FD6">
          <w:rPr>
            <w:caps/>
            <w:webHidden/>
          </w:rPr>
          <w:t>4</w:t>
        </w:r>
        <w:r w:rsidR="006527BA" w:rsidRPr="006527BA">
          <w:rPr>
            <w:caps/>
            <w:webHidden/>
          </w:rPr>
          <w:fldChar w:fldCharType="end"/>
        </w:r>
      </w:hyperlink>
    </w:p>
    <w:p w:rsidR="006527BA" w:rsidRDefault="0094562D" w:rsidP="006527BA">
      <w:pPr>
        <w:pStyle w:val="TOC2"/>
        <w:spacing w:line="480" w:lineRule="auto"/>
        <w:rPr>
          <w:rFonts w:asciiTheme="minorHAnsi" w:eastAsiaTheme="minorEastAsia" w:hAnsiTheme="minorHAnsi" w:cstheme="minorBidi"/>
          <w:noProof/>
          <w:szCs w:val="22"/>
        </w:rPr>
      </w:pPr>
      <w:hyperlink w:anchor="_Toc434238607" w:history="1">
        <w:r w:rsidR="006527BA" w:rsidRPr="00636FD6">
          <w:rPr>
            <w:rStyle w:val="Hyperlink"/>
          </w:rPr>
          <w:t>Natural Gas Price Assumptions</w:t>
        </w:r>
        <w:r w:rsidR="006527BA">
          <w:rPr>
            <w:noProof/>
            <w:webHidden/>
          </w:rPr>
          <w:tab/>
        </w:r>
        <w:r w:rsidR="006527BA">
          <w:rPr>
            <w:noProof/>
            <w:webHidden/>
          </w:rPr>
          <w:fldChar w:fldCharType="begin"/>
        </w:r>
        <w:r w:rsidR="006527BA">
          <w:rPr>
            <w:noProof/>
            <w:webHidden/>
          </w:rPr>
          <w:instrText xml:space="preserve"> PAGEREF _Toc434238607 \h </w:instrText>
        </w:r>
        <w:r w:rsidR="006527BA">
          <w:rPr>
            <w:noProof/>
            <w:webHidden/>
          </w:rPr>
        </w:r>
        <w:r w:rsidR="006527BA">
          <w:rPr>
            <w:noProof/>
            <w:webHidden/>
          </w:rPr>
          <w:fldChar w:fldCharType="separate"/>
        </w:r>
        <w:r w:rsidR="00082FD6">
          <w:rPr>
            <w:noProof/>
            <w:webHidden/>
          </w:rPr>
          <w:t>5</w:t>
        </w:r>
        <w:r w:rsidR="006527BA">
          <w:rPr>
            <w:noProof/>
            <w:webHidden/>
          </w:rPr>
          <w:fldChar w:fldCharType="end"/>
        </w:r>
      </w:hyperlink>
    </w:p>
    <w:p w:rsidR="006527BA" w:rsidRDefault="0094562D" w:rsidP="006527BA">
      <w:pPr>
        <w:pStyle w:val="TOC2"/>
        <w:spacing w:line="480" w:lineRule="auto"/>
        <w:rPr>
          <w:rFonts w:asciiTheme="minorHAnsi" w:eastAsiaTheme="minorEastAsia" w:hAnsiTheme="minorHAnsi" w:cstheme="minorBidi"/>
          <w:noProof/>
          <w:szCs w:val="22"/>
        </w:rPr>
      </w:pPr>
      <w:hyperlink w:anchor="_Toc434238608" w:history="1">
        <w:r w:rsidR="006527BA" w:rsidRPr="00636FD6">
          <w:rPr>
            <w:rStyle w:val="Hyperlink"/>
          </w:rPr>
          <w:t>IFR Mechanism</w:t>
        </w:r>
        <w:r w:rsidR="006527BA">
          <w:rPr>
            <w:noProof/>
            <w:webHidden/>
          </w:rPr>
          <w:tab/>
        </w:r>
        <w:r w:rsidR="006527BA">
          <w:rPr>
            <w:noProof/>
            <w:webHidden/>
          </w:rPr>
          <w:fldChar w:fldCharType="begin"/>
        </w:r>
        <w:r w:rsidR="006527BA">
          <w:rPr>
            <w:noProof/>
            <w:webHidden/>
          </w:rPr>
          <w:instrText xml:space="preserve"> PAGEREF _Toc434238608 \h </w:instrText>
        </w:r>
        <w:r w:rsidR="006527BA">
          <w:rPr>
            <w:noProof/>
            <w:webHidden/>
          </w:rPr>
        </w:r>
        <w:r w:rsidR="006527BA">
          <w:rPr>
            <w:noProof/>
            <w:webHidden/>
          </w:rPr>
          <w:fldChar w:fldCharType="separate"/>
        </w:r>
        <w:r w:rsidR="00082FD6">
          <w:rPr>
            <w:noProof/>
            <w:webHidden/>
          </w:rPr>
          <w:t>8</w:t>
        </w:r>
        <w:r w:rsidR="006527BA">
          <w:rPr>
            <w:noProof/>
            <w:webHidden/>
          </w:rPr>
          <w:fldChar w:fldCharType="end"/>
        </w:r>
      </w:hyperlink>
    </w:p>
    <w:p w:rsidR="006527BA" w:rsidRDefault="0094562D" w:rsidP="006527BA">
      <w:pPr>
        <w:pStyle w:val="TOC2"/>
        <w:spacing w:line="480" w:lineRule="auto"/>
        <w:rPr>
          <w:rFonts w:asciiTheme="minorHAnsi" w:eastAsiaTheme="minorEastAsia" w:hAnsiTheme="minorHAnsi" w:cstheme="minorBidi"/>
          <w:noProof/>
          <w:szCs w:val="22"/>
        </w:rPr>
      </w:pPr>
      <w:hyperlink w:anchor="_Toc434238609" w:history="1">
        <w:r w:rsidR="006527BA" w:rsidRPr="00636FD6">
          <w:rPr>
            <w:rStyle w:val="Hyperlink"/>
          </w:rPr>
          <w:t>Seasonal FCR-24 Rates</w:t>
        </w:r>
        <w:r w:rsidR="006527BA">
          <w:rPr>
            <w:noProof/>
            <w:webHidden/>
          </w:rPr>
          <w:tab/>
        </w:r>
        <w:r w:rsidR="006527BA">
          <w:rPr>
            <w:noProof/>
            <w:webHidden/>
          </w:rPr>
          <w:fldChar w:fldCharType="begin"/>
        </w:r>
        <w:r w:rsidR="006527BA">
          <w:rPr>
            <w:noProof/>
            <w:webHidden/>
          </w:rPr>
          <w:instrText xml:space="preserve"> PAGEREF _Toc434238609 \h </w:instrText>
        </w:r>
        <w:r w:rsidR="006527BA">
          <w:rPr>
            <w:noProof/>
            <w:webHidden/>
          </w:rPr>
        </w:r>
        <w:r w:rsidR="006527BA">
          <w:rPr>
            <w:noProof/>
            <w:webHidden/>
          </w:rPr>
          <w:fldChar w:fldCharType="separate"/>
        </w:r>
        <w:r w:rsidR="00082FD6">
          <w:rPr>
            <w:noProof/>
            <w:webHidden/>
          </w:rPr>
          <w:t>9</w:t>
        </w:r>
        <w:r w:rsidR="006527BA">
          <w:rPr>
            <w:noProof/>
            <w:webHidden/>
          </w:rPr>
          <w:fldChar w:fldCharType="end"/>
        </w:r>
      </w:hyperlink>
    </w:p>
    <w:p w:rsidR="006527BA" w:rsidRDefault="0094562D" w:rsidP="006527BA">
      <w:pPr>
        <w:pStyle w:val="TOC2"/>
        <w:spacing w:line="480" w:lineRule="auto"/>
        <w:rPr>
          <w:rFonts w:asciiTheme="minorHAnsi" w:eastAsiaTheme="minorEastAsia" w:hAnsiTheme="minorHAnsi" w:cstheme="minorBidi"/>
          <w:noProof/>
          <w:szCs w:val="22"/>
        </w:rPr>
      </w:pPr>
      <w:hyperlink w:anchor="_Toc434238610" w:history="1">
        <w:r w:rsidR="006527BA" w:rsidRPr="00636FD6">
          <w:rPr>
            <w:rStyle w:val="Hyperlink"/>
          </w:rPr>
          <w:t>Imputed Capacity</w:t>
        </w:r>
        <w:r w:rsidR="006527BA">
          <w:rPr>
            <w:noProof/>
            <w:webHidden/>
          </w:rPr>
          <w:tab/>
        </w:r>
        <w:r w:rsidR="006527BA">
          <w:rPr>
            <w:noProof/>
            <w:webHidden/>
          </w:rPr>
          <w:fldChar w:fldCharType="begin"/>
        </w:r>
        <w:r w:rsidR="006527BA">
          <w:rPr>
            <w:noProof/>
            <w:webHidden/>
          </w:rPr>
          <w:instrText xml:space="preserve"> PAGEREF _Toc434238610 \h </w:instrText>
        </w:r>
        <w:r w:rsidR="006527BA">
          <w:rPr>
            <w:noProof/>
            <w:webHidden/>
          </w:rPr>
        </w:r>
        <w:r w:rsidR="006527BA">
          <w:rPr>
            <w:noProof/>
            <w:webHidden/>
          </w:rPr>
          <w:fldChar w:fldCharType="separate"/>
        </w:r>
        <w:r w:rsidR="00082FD6">
          <w:rPr>
            <w:noProof/>
            <w:webHidden/>
          </w:rPr>
          <w:t>12</w:t>
        </w:r>
        <w:r w:rsidR="006527BA">
          <w:rPr>
            <w:noProof/>
            <w:webHidden/>
          </w:rPr>
          <w:fldChar w:fldCharType="end"/>
        </w:r>
      </w:hyperlink>
    </w:p>
    <w:p w:rsidR="006527BA" w:rsidRPr="006527BA" w:rsidRDefault="0094562D" w:rsidP="006527BA">
      <w:pPr>
        <w:pStyle w:val="TOC1"/>
        <w:spacing w:line="480" w:lineRule="auto"/>
        <w:rPr>
          <w:rFonts w:asciiTheme="minorHAnsi" w:eastAsiaTheme="minorEastAsia" w:hAnsiTheme="minorHAnsi" w:cstheme="minorBidi"/>
          <w:caps/>
          <w:szCs w:val="22"/>
        </w:rPr>
      </w:pPr>
      <w:hyperlink w:anchor="_Toc434238611" w:history="1">
        <w:r w:rsidR="006527BA" w:rsidRPr="006527BA">
          <w:rPr>
            <w:rStyle w:val="Hyperlink"/>
            <w:caps/>
          </w:rPr>
          <w:t>Appendix A</w:t>
        </w:r>
        <w:r w:rsidR="006527BA" w:rsidRPr="006527BA">
          <w:rPr>
            <w:caps/>
            <w:webHidden/>
          </w:rPr>
          <w:tab/>
        </w:r>
        <w:r w:rsidR="006527BA" w:rsidRPr="006527BA">
          <w:rPr>
            <w:caps/>
            <w:webHidden/>
          </w:rPr>
          <w:fldChar w:fldCharType="begin"/>
        </w:r>
        <w:r w:rsidR="006527BA" w:rsidRPr="006527BA">
          <w:rPr>
            <w:caps/>
            <w:webHidden/>
          </w:rPr>
          <w:instrText xml:space="preserve"> PAGEREF _Toc434238611 \h </w:instrText>
        </w:r>
        <w:r w:rsidR="006527BA" w:rsidRPr="006527BA">
          <w:rPr>
            <w:caps/>
            <w:webHidden/>
          </w:rPr>
        </w:r>
        <w:r w:rsidR="006527BA" w:rsidRPr="006527BA">
          <w:rPr>
            <w:caps/>
            <w:webHidden/>
          </w:rPr>
          <w:fldChar w:fldCharType="separate"/>
        </w:r>
        <w:r w:rsidR="00082FD6">
          <w:rPr>
            <w:caps/>
            <w:webHidden/>
          </w:rPr>
          <w:t>14</w:t>
        </w:r>
        <w:r w:rsidR="006527BA" w:rsidRPr="006527BA">
          <w:rPr>
            <w:caps/>
            <w:webHidden/>
          </w:rPr>
          <w:fldChar w:fldCharType="end"/>
        </w:r>
      </w:hyperlink>
    </w:p>
    <w:p w:rsidR="006527BA" w:rsidRPr="006527BA" w:rsidRDefault="0094562D" w:rsidP="006527BA">
      <w:pPr>
        <w:pStyle w:val="TOC1"/>
        <w:spacing w:line="480" w:lineRule="auto"/>
        <w:rPr>
          <w:rFonts w:asciiTheme="minorHAnsi" w:eastAsiaTheme="minorEastAsia" w:hAnsiTheme="minorHAnsi" w:cstheme="minorBidi"/>
          <w:caps/>
          <w:szCs w:val="22"/>
        </w:rPr>
      </w:pPr>
      <w:hyperlink w:anchor="_Toc434238612" w:history="1">
        <w:r w:rsidR="006527BA" w:rsidRPr="006527BA">
          <w:rPr>
            <w:rStyle w:val="Hyperlink"/>
            <w:caps/>
          </w:rPr>
          <w:t>appendix B</w:t>
        </w:r>
        <w:r w:rsidR="006527BA" w:rsidRPr="006527BA">
          <w:rPr>
            <w:caps/>
            <w:webHidden/>
          </w:rPr>
          <w:tab/>
        </w:r>
        <w:r w:rsidR="006527BA" w:rsidRPr="006527BA">
          <w:rPr>
            <w:caps/>
            <w:webHidden/>
          </w:rPr>
          <w:fldChar w:fldCharType="begin"/>
        </w:r>
        <w:r w:rsidR="006527BA" w:rsidRPr="006527BA">
          <w:rPr>
            <w:caps/>
            <w:webHidden/>
          </w:rPr>
          <w:instrText xml:space="preserve"> PAGEREF _Toc434238612 \h </w:instrText>
        </w:r>
        <w:r w:rsidR="006527BA" w:rsidRPr="006527BA">
          <w:rPr>
            <w:caps/>
            <w:webHidden/>
          </w:rPr>
        </w:r>
        <w:r w:rsidR="006527BA" w:rsidRPr="006527BA">
          <w:rPr>
            <w:caps/>
            <w:webHidden/>
          </w:rPr>
          <w:fldChar w:fldCharType="separate"/>
        </w:r>
        <w:r w:rsidR="00082FD6">
          <w:rPr>
            <w:caps/>
            <w:webHidden/>
          </w:rPr>
          <w:t>16</w:t>
        </w:r>
        <w:r w:rsidR="006527BA" w:rsidRPr="006527BA">
          <w:rPr>
            <w:caps/>
            <w:webHidden/>
          </w:rPr>
          <w:fldChar w:fldCharType="end"/>
        </w:r>
      </w:hyperlink>
    </w:p>
    <w:p w:rsidR="006928F0" w:rsidRDefault="0009078F" w:rsidP="0008789B">
      <w:pPr>
        <w:pStyle w:val="Heading2"/>
        <w:spacing w:line="276" w:lineRule="auto"/>
        <w:sectPr w:rsidR="006928F0" w:rsidSect="00297BB2">
          <w:headerReference w:type="default" r:id="rId11"/>
          <w:pgSz w:w="12240" w:h="15840" w:code="1"/>
          <w:pgMar w:top="1440" w:right="1440" w:bottom="1440" w:left="1800" w:header="720" w:footer="720" w:gutter="0"/>
          <w:paperSrc w:first="264" w:other="264"/>
          <w:pgNumType w:start="1"/>
          <w:cols w:space="720"/>
          <w:docGrid w:linePitch="299"/>
        </w:sectPr>
      </w:pPr>
      <w:r>
        <w:rPr>
          <w:noProof/>
        </w:rPr>
        <w:fldChar w:fldCharType="end"/>
      </w:r>
    </w:p>
    <w:p w:rsidR="00022907" w:rsidRPr="0075624C" w:rsidRDefault="00022907" w:rsidP="0075624C">
      <w:pPr>
        <w:pStyle w:val="Heading1"/>
      </w:pPr>
      <w:bookmarkStart w:id="8" w:name="_Toc271101207"/>
      <w:bookmarkStart w:id="9" w:name="_Toc271102012"/>
      <w:bookmarkStart w:id="10" w:name="_Toc434238604"/>
      <w:r w:rsidRPr="0075624C">
        <w:lastRenderedPageBreak/>
        <w:t>Exhibit List</w:t>
      </w:r>
      <w:bookmarkEnd w:id="8"/>
      <w:bookmarkEnd w:id="9"/>
      <w:bookmarkEnd w:id="10"/>
    </w:p>
    <w:tbl>
      <w:tblPr>
        <w:tblStyle w:val="LightGrid-Accent11"/>
        <w:tblW w:w="0" w:type="auto"/>
        <w:jc w:val="center"/>
        <w:tblLook w:val="04A0" w:firstRow="1" w:lastRow="0" w:firstColumn="1" w:lastColumn="0" w:noHBand="0" w:noVBand="1"/>
      </w:tblPr>
      <w:tblGrid>
        <w:gridCol w:w="950"/>
        <w:gridCol w:w="6663"/>
      </w:tblGrid>
      <w:tr w:rsidR="00207870" w:rsidRPr="00EE6E79" w:rsidTr="007D4FF2">
        <w:trPr>
          <w:cnfStyle w:val="100000000000" w:firstRow="1" w:lastRow="0" w:firstColumn="0" w:lastColumn="0" w:oddVBand="0" w:evenVBand="0" w:oddHBand="0"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950" w:type="dxa"/>
            <w:shd w:val="clear" w:color="auto" w:fill="C6D9F1" w:themeFill="text2" w:themeFillTint="33"/>
            <w:vAlign w:val="center"/>
          </w:tcPr>
          <w:p w:rsidR="00297BB2" w:rsidRPr="00EE6E79" w:rsidRDefault="00297BB2" w:rsidP="00170BA2">
            <w:pPr>
              <w:jc w:val="center"/>
              <w:rPr>
                <w:rFonts w:cs="Arial"/>
              </w:rPr>
            </w:pPr>
            <w:r>
              <w:rPr>
                <w:rFonts w:cs="Arial"/>
              </w:rPr>
              <w:t>Exhibit</w:t>
            </w:r>
          </w:p>
        </w:tc>
        <w:tc>
          <w:tcPr>
            <w:tcW w:w="6663" w:type="dxa"/>
            <w:shd w:val="clear" w:color="auto" w:fill="C6D9F1" w:themeFill="text2" w:themeFillTint="33"/>
            <w:vAlign w:val="center"/>
          </w:tcPr>
          <w:p w:rsidR="00297BB2" w:rsidRPr="00EE6E79" w:rsidRDefault="00297BB2" w:rsidP="00170BA2">
            <w:pPr>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Description</w:t>
            </w:r>
          </w:p>
        </w:tc>
      </w:tr>
      <w:tr w:rsidR="00207870" w:rsidRPr="00822D58" w:rsidTr="007D4FF2">
        <w:trPr>
          <w:cnfStyle w:val="000000100000" w:firstRow="0" w:lastRow="0" w:firstColumn="0" w:lastColumn="0" w:oddVBand="0" w:evenVBand="0" w:oddHBand="1" w:evenHBand="0" w:firstRowFirstColumn="0" w:firstRowLastColumn="0" w:lastRowFirstColumn="0" w:lastRowLastColumn="0"/>
          <w:trHeight w:val="378"/>
          <w:jc w:val="center"/>
        </w:trPr>
        <w:tc>
          <w:tcPr>
            <w:cnfStyle w:val="001000000000" w:firstRow="0" w:lastRow="0" w:firstColumn="1" w:lastColumn="0" w:oddVBand="0" w:evenVBand="0" w:oddHBand="0" w:evenHBand="0" w:firstRowFirstColumn="0" w:firstRowLastColumn="0" w:lastRowFirstColumn="0" w:lastRowLastColumn="0"/>
            <w:tcW w:w="950" w:type="dxa"/>
            <w:shd w:val="clear" w:color="auto" w:fill="auto"/>
            <w:vAlign w:val="center"/>
          </w:tcPr>
          <w:p w:rsidR="00297BB2" w:rsidRPr="003E00CC" w:rsidRDefault="00297BB2" w:rsidP="003E00CC">
            <w:pPr>
              <w:jc w:val="center"/>
              <w:rPr>
                <w:rFonts w:cs="Arial"/>
              </w:rPr>
            </w:pPr>
            <w:r w:rsidRPr="003E00CC">
              <w:rPr>
                <w:rFonts w:cs="Arial"/>
              </w:rPr>
              <w:t>JP-1</w:t>
            </w:r>
          </w:p>
        </w:tc>
        <w:tc>
          <w:tcPr>
            <w:tcW w:w="6663" w:type="dxa"/>
            <w:shd w:val="clear" w:color="auto" w:fill="auto"/>
            <w:vAlign w:val="center"/>
          </w:tcPr>
          <w:p w:rsidR="00297BB2" w:rsidRPr="003E00CC" w:rsidRDefault="00322993" w:rsidP="003E00CC">
            <w:pPr>
              <w:cnfStyle w:val="000000100000" w:firstRow="0" w:lastRow="0" w:firstColumn="0" w:lastColumn="0" w:oddVBand="0" w:evenVBand="0" w:oddHBand="1" w:evenHBand="0" w:firstRowFirstColumn="0" w:firstRowLastColumn="0" w:lastRowFirstColumn="0" w:lastRowLastColumn="0"/>
              <w:rPr>
                <w:rFonts w:cs="Arial"/>
              </w:rPr>
            </w:pPr>
            <w:r w:rsidRPr="003E00CC">
              <w:rPr>
                <w:rFonts w:cs="Arial"/>
              </w:rPr>
              <w:t>NYMEX Henry Hub Gas Futures</w:t>
            </w:r>
          </w:p>
        </w:tc>
      </w:tr>
      <w:tr w:rsidR="009D3570" w:rsidRPr="00822D58" w:rsidTr="007D4FF2">
        <w:trPr>
          <w:cnfStyle w:val="000000010000" w:firstRow="0" w:lastRow="0" w:firstColumn="0" w:lastColumn="0" w:oddVBand="0" w:evenVBand="0" w:oddHBand="0" w:evenHBand="1" w:firstRowFirstColumn="0" w:firstRowLastColumn="0" w:lastRowFirstColumn="0" w:lastRowLastColumn="0"/>
          <w:trHeight w:val="378"/>
          <w:jc w:val="center"/>
        </w:trPr>
        <w:tc>
          <w:tcPr>
            <w:cnfStyle w:val="001000000000" w:firstRow="0" w:lastRow="0" w:firstColumn="1" w:lastColumn="0" w:oddVBand="0" w:evenVBand="0" w:oddHBand="0" w:evenHBand="0" w:firstRowFirstColumn="0" w:firstRowLastColumn="0" w:lastRowFirstColumn="0" w:lastRowLastColumn="0"/>
            <w:tcW w:w="950" w:type="dxa"/>
            <w:shd w:val="clear" w:color="auto" w:fill="auto"/>
            <w:vAlign w:val="center"/>
          </w:tcPr>
          <w:p w:rsidR="009D3570" w:rsidRPr="003E00CC" w:rsidRDefault="009D3570" w:rsidP="003E00CC">
            <w:pPr>
              <w:jc w:val="center"/>
              <w:rPr>
                <w:rFonts w:cs="Arial"/>
              </w:rPr>
            </w:pPr>
            <w:r w:rsidRPr="003E00CC">
              <w:rPr>
                <w:rFonts w:cs="Arial"/>
              </w:rPr>
              <w:t>JP-2</w:t>
            </w:r>
          </w:p>
        </w:tc>
        <w:tc>
          <w:tcPr>
            <w:tcW w:w="6663" w:type="dxa"/>
            <w:shd w:val="clear" w:color="auto" w:fill="auto"/>
            <w:vAlign w:val="center"/>
          </w:tcPr>
          <w:p w:rsidR="009D3570" w:rsidRPr="003E00CC" w:rsidRDefault="00A4455B" w:rsidP="003E00CC">
            <w:pPr>
              <w:cnfStyle w:val="000000010000" w:firstRow="0" w:lastRow="0" w:firstColumn="0" w:lastColumn="0" w:oddVBand="0" w:evenVBand="0" w:oddHBand="0" w:evenHBand="1" w:firstRowFirstColumn="0" w:firstRowLastColumn="0" w:lastRowFirstColumn="0" w:lastRowLastColumn="0"/>
              <w:rPr>
                <w:rFonts w:cs="Arial"/>
              </w:rPr>
            </w:pPr>
            <w:r w:rsidRPr="003E00CC">
              <w:t xml:space="preserve">Bloomberg Business:  </w:t>
            </w:r>
            <w:r w:rsidRPr="003E00CC">
              <w:rPr>
                <w:i/>
              </w:rPr>
              <w:t>Natural Gas Needs Bone-Chilling Winter to Avoid 1990s-Era Prices</w:t>
            </w:r>
          </w:p>
        </w:tc>
      </w:tr>
      <w:tr w:rsidR="008C4AA3" w:rsidRPr="00822D58" w:rsidTr="007D4FF2">
        <w:trPr>
          <w:cnfStyle w:val="000000100000" w:firstRow="0" w:lastRow="0" w:firstColumn="0" w:lastColumn="0" w:oddVBand="0" w:evenVBand="0" w:oddHBand="1" w:evenHBand="0" w:firstRowFirstColumn="0" w:firstRowLastColumn="0" w:lastRowFirstColumn="0" w:lastRowLastColumn="0"/>
          <w:trHeight w:val="378"/>
          <w:jc w:val="center"/>
        </w:trPr>
        <w:tc>
          <w:tcPr>
            <w:cnfStyle w:val="001000000000" w:firstRow="0" w:lastRow="0" w:firstColumn="1" w:lastColumn="0" w:oddVBand="0" w:evenVBand="0" w:oddHBand="0" w:evenHBand="0" w:firstRowFirstColumn="0" w:firstRowLastColumn="0" w:lastRowFirstColumn="0" w:lastRowLastColumn="0"/>
            <w:tcW w:w="950" w:type="dxa"/>
            <w:shd w:val="clear" w:color="auto" w:fill="auto"/>
            <w:vAlign w:val="center"/>
          </w:tcPr>
          <w:p w:rsidR="008C4AA3" w:rsidRDefault="008C4AA3" w:rsidP="00170BA2">
            <w:pPr>
              <w:jc w:val="center"/>
              <w:rPr>
                <w:rFonts w:cs="Arial"/>
              </w:rPr>
            </w:pPr>
            <w:r>
              <w:rPr>
                <w:rFonts w:cs="Arial"/>
              </w:rPr>
              <w:t>JP-3</w:t>
            </w:r>
          </w:p>
        </w:tc>
        <w:tc>
          <w:tcPr>
            <w:tcW w:w="6663" w:type="dxa"/>
            <w:shd w:val="clear" w:color="auto" w:fill="auto"/>
            <w:vAlign w:val="center"/>
          </w:tcPr>
          <w:p w:rsidR="008C4AA3" w:rsidRDefault="008C4AA3" w:rsidP="00322993">
            <w:pPr>
              <w:cnfStyle w:val="000000100000" w:firstRow="0" w:lastRow="0" w:firstColumn="0" w:lastColumn="0" w:oddVBand="0" w:evenVBand="0" w:oddHBand="1" w:evenHBand="0" w:firstRowFirstColumn="0" w:firstRowLastColumn="0" w:lastRowFirstColumn="0" w:lastRowLastColumn="0"/>
              <w:rPr>
                <w:rFonts w:cs="Arial"/>
              </w:rPr>
            </w:pPr>
            <w:r>
              <w:rPr>
                <w:rFonts w:cs="Arial"/>
              </w:rPr>
              <w:t>Monthly FCR-24 Recoverable Fuel Costs Per kWh</w:t>
            </w:r>
          </w:p>
        </w:tc>
      </w:tr>
      <w:tr w:rsidR="008C4AA3" w:rsidRPr="00822D58" w:rsidTr="007D4FF2">
        <w:trPr>
          <w:cnfStyle w:val="000000010000" w:firstRow="0" w:lastRow="0" w:firstColumn="0" w:lastColumn="0" w:oddVBand="0" w:evenVBand="0" w:oddHBand="0" w:evenHBand="1" w:firstRowFirstColumn="0" w:firstRowLastColumn="0" w:lastRowFirstColumn="0" w:lastRowLastColumn="0"/>
          <w:trHeight w:val="378"/>
          <w:jc w:val="center"/>
        </w:trPr>
        <w:tc>
          <w:tcPr>
            <w:cnfStyle w:val="001000000000" w:firstRow="0" w:lastRow="0" w:firstColumn="1" w:lastColumn="0" w:oddVBand="0" w:evenVBand="0" w:oddHBand="0" w:evenHBand="0" w:firstRowFirstColumn="0" w:firstRowLastColumn="0" w:lastRowFirstColumn="0" w:lastRowLastColumn="0"/>
            <w:tcW w:w="950" w:type="dxa"/>
            <w:shd w:val="clear" w:color="auto" w:fill="auto"/>
            <w:vAlign w:val="center"/>
          </w:tcPr>
          <w:p w:rsidR="008C4AA3" w:rsidRDefault="008C4AA3" w:rsidP="00170BA2">
            <w:pPr>
              <w:jc w:val="center"/>
              <w:rPr>
                <w:rFonts w:cs="Arial"/>
              </w:rPr>
            </w:pPr>
            <w:r>
              <w:rPr>
                <w:rFonts w:cs="Arial"/>
              </w:rPr>
              <w:t>JP-4</w:t>
            </w:r>
          </w:p>
        </w:tc>
        <w:tc>
          <w:tcPr>
            <w:tcW w:w="6663" w:type="dxa"/>
            <w:shd w:val="clear" w:color="auto" w:fill="auto"/>
            <w:vAlign w:val="center"/>
          </w:tcPr>
          <w:p w:rsidR="008C4AA3" w:rsidRDefault="00A4455B" w:rsidP="00620706">
            <w:pPr>
              <w:cnfStyle w:val="000000010000" w:firstRow="0" w:lastRow="0" w:firstColumn="0" w:lastColumn="0" w:oddVBand="0" w:evenVBand="0" w:oddHBand="0" w:evenHBand="1" w:firstRowFirstColumn="0" w:firstRowLastColumn="0" w:lastRowFirstColumn="0" w:lastRowLastColumn="0"/>
              <w:rPr>
                <w:rFonts w:cs="Arial"/>
              </w:rPr>
            </w:pPr>
            <w:r>
              <w:rPr>
                <w:rFonts w:cs="Arial"/>
              </w:rPr>
              <w:t>Revised FCR-24 Rate</w:t>
            </w:r>
            <w:r w:rsidR="00254065">
              <w:rPr>
                <w:rFonts w:cs="Arial"/>
              </w:rPr>
              <w:t xml:space="preserve"> De</w:t>
            </w:r>
            <w:r w:rsidR="00620706">
              <w:rPr>
                <w:rFonts w:cs="Arial"/>
              </w:rPr>
              <w:t>s</w:t>
            </w:r>
            <w:r w:rsidR="00254065">
              <w:rPr>
                <w:rFonts w:cs="Arial"/>
              </w:rPr>
              <w:t>ign</w:t>
            </w:r>
          </w:p>
        </w:tc>
      </w:tr>
    </w:tbl>
    <w:p w:rsidR="00486971" w:rsidRDefault="00486971" w:rsidP="00022907">
      <w:pPr>
        <w:tabs>
          <w:tab w:val="left" w:pos="720"/>
          <w:tab w:val="left" w:pos="1440"/>
          <w:tab w:val="left" w:pos="7725"/>
        </w:tabs>
        <w:spacing w:before="240"/>
        <w:ind w:left="1620" w:hanging="1620"/>
      </w:pPr>
    </w:p>
    <w:p w:rsidR="00486971" w:rsidRPr="00BF01CE" w:rsidRDefault="00486971" w:rsidP="00022907">
      <w:pPr>
        <w:tabs>
          <w:tab w:val="left" w:pos="720"/>
          <w:tab w:val="left" w:pos="1440"/>
          <w:tab w:val="left" w:pos="7725"/>
        </w:tabs>
        <w:spacing w:before="240"/>
        <w:ind w:left="1620" w:hanging="1620"/>
        <w:sectPr w:rsidR="00486971" w:rsidRPr="00BF01CE" w:rsidSect="00297BB2">
          <w:pgSz w:w="12240" w:h="15840" w:code="1"/>
          <w:pgMar w:top="1440" w:right="1440" w:bottom="1440" w:left="1800" w:header="720" w:footer="720" w:gutter="0"/>
          <w:paperSrc w:first="264" w:other="264"/>
          <w:cols w:space="720"/>
          <w:docGrid w:linePitch="299"/>
        </w:sectPr>
      </w:pPr>
    </w:p>
    <w:p w:rsidR="00022907" w:rsidRPr="00033A6F" w:rsidRDefault="00022907" w:rsidP="00D867D2">
      <w:pPr>
        <w:pStyle w:val="Heading1"/>
        <w:suppressLineNumbers/>
      </w:pPr>
      <w:bookmarkStart w:id="11" w:name="_Toc271101209"/>
      <w:bookmarkStart w:id="12" w:name="_Toc271102014"/>
      <w:bookmarkStart w:id="13" w:name="_Toc434238605"/>
      <w:bookmarkStart w:id="14" w:name="_Toc50887337"/>
      <w:bookmarkStart w:id="15" w:name="_Toc50887509"/>
      <w:bookmarkStart w:id="16" w:name="_Toc98315232"/>
      <w:r w:rsidRPr="00627D8A">
        <w:lastRenderedPageBreak/>
        <w:t>Glossary of Acronyms</w:t>
      </w:r>
      <w:bookmarkEnd w:id="11"/>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6"/>
        <w:gridCol w:w="4032"/>
      </w:tblGrid>
      <w:tr w:rsidR="000A2131" w:rsidRPr="00FE0F64" w:rsidTr="00AD7246">
        <w:trPr>
          <w:trHeight w:val="432"/>
          <w:tblHeader/>
          <w:jc w:val="center"/>
        </w:trPr>
        <w:tc>
          <w:tcPr>
            <w:tcW w:w="1296" w:type="dxa"/>
            <w:shd w:val="clear" w:color="auto" w:fill="C6D9F1" w:themeFill="text2" w:themeFillTint="33"/>
            <w:vAlign w:val="center"/>
          </w:tcPr>
          <w:p w:rsidR="000A2131" w:rsidRPr="00324EF7" w:rsidRDefault="000A2131" w:rsidP="000A2131">
            <w:pPr>
              <w:pStyle w:val="ColorfulList-Accent11"/>
              <w:spacing w:after="0"/>
              <w:ind w:left="0" w:right="0" w:firstLine="44"/>
              <w:jc w:val="center"/>
              <w:rPr>
                <w:b/>
                <w:sz w:val="24"/>
              </w:rPr>
            </w:pPr>
            <w:r w:rsidRPr="00324EF7">
              <w:rPr>
                <w:b/>
                <w:sz w:val="24"/>
              </w:rPr>
              <w:t>Term</w:t>
            </w:r>
          </w:p>
        </w:tc>
        <w:tc>
          <w:tcPr>
            <w:tcW w:w="4032" w:type="dxa"/>
            <w:shd w:val="clear" w:color="auto" w:fill="C6D9F1" w:themeFill="text2" w:themeFillTint="33"/>
            <w:vAlign w:val="center"/>
          </w:tcPr>
          <w:p w:rsidR="000A2131" w:rsidRPr="00324EF7" w:rsidRDefault="000A2131" w:rsidP="000A2131">
            <w:pPr>
              <w:pStyle w:val="ColorfulList-Accent11"/>
              <w:spacing w:after="0"/>
              <w:ind w:left="0" w:right="0" w:firstLine="34"/>
              <w:jc w:val="center"/>
              <w:rPr>
                <w:b/>
                <w:sz w:val="24"/>
              </w:rPr>
            </w:pPr>
            <w:r w:rsidRPr="00324EF7">
              <w:rPr>
                <w:b/>
                <w:sz w:val="24"/>
              </w:rPr>
              <w:t>Definition</w:t>
            </w:r>
          </w:p>
        </w:tc>
      </w:tr>
      <w:tr w:rsidR="002830D5" w:rsidRPr="00465212" w:rsidTr="00AD7246">
        <w:trPr>
          <w:trHeight w:val="432"/>
          <w:jc w:val="center"/>
        </w:trPr>
        <w:tc>
          <w:tcPr>
            <w:tcW w:w="1296" w:type="dxa"/>
            <w:vAlign w:val="center"/>
          </w:tcPr>
          <w:p w:rsidR="002830D5" w:rsidRPr="00297BB2" w:rsidRDefault="003E1480" w:rsidP="003E1480">
            <w:pPr>
              <w:pStyle w:val="ColorfulList-Accent11"/>
              <w:spacing w:after="0"/>
              <w:ind w:left="0" w:right="0" w:firstLine="44"/>
              <w:jc w:val="left"/>
              <w:rPr>
                <w:b/>
                <w:szCs w:val="22"/>
              </w:rPr>
            </w:pPr>
            <w:r>
              <w:rPr>
                <w:b/>
                <w:szCs w:val="22"/>
              </w:rPr>
              <w:t>Bcf</w:t>
            </w:r>
          </w:p>
        </w:tc>
        <w:tc>
          <w:tcPr>
            <w:tcW w:w="4032" w:type="dxa"/>
            <w:vAlign w:val="center"/>
          </w:tcPr>
          <w:p w:rsidR="002830D5" w:rsidRPr="00075199" w:rsidRDefault="00E55601" w:rsidP="002830D5">
            <w:pPr>
              <w:pStyle w:val="ColorfulList-Accent11"/>
              <w:spacing w:after="0"/>
              <w:ind w:left="252" w:right="0" w:hanging="218"/>
              <w:jc w:val="left"/>
              <w:rPr>
                <w:rFonts w:cs="Arial"/>
                <w:szCs w:val="22"/>
              </w:rPr>
            </w:pPr>
            <w:r>
              <w:rPr>
                <w:rFonts w:cs="Arial"/>
                <w:szCs w:val="22"/>
              </w:rPr>
              <w:t>Billion Cubic Feet</w:t>
            </w:r>
          </w:p>
        </w:tc>
      </w:tr>
      <w:tr w:rsidR="004C7E12" w:rsidRPr="00465212" w:rsidTr="00AD7246">
        <w:trPr>
          <w:trHeight w:val="432"/>
          <w:jc w:val="center"/>
        </w:trPr>
        <w:tc>
          <w:tcPr>
            <w:tcW w:w="1296" w:type="dxa"/>
            <w:vAlign w:val="center"/>
          </w:tcPr>
          <w:p w:rsidR="004C7E12" w:rsidRPr="00297BB2" w:rsidRDefault="004C7E12" w:rsidP="00075199">
            <w:pPr>
              <w:pStyle w:val="ColorfulList-Accent11"/>
              <w:spacing w:after="0"/>
              <w:ind w:left="0" w:right="0" w:firstLine="44"/>
              <w:jc w:val="left"/>
              <w:rPr>
                <w:b/>
                <w:szCs w:val="22"/>
              </w:rPr>
            </w:pPr>
            <w:r w:rsidRPr="00297BB2">
              <w:rPr>
                <w:b/>
                <w:szCs w:val="22"/>
              </w:rPr>
              <w:t>GAM</w:t>
            </w:r>
          </w:p>
        </w:tc>
        <w:tc>
          <w:tcPr>
            <w:tcW w:w="4032" w:type="dxa"/>
            <w:vAlign w:val="center"/>
          </w:tcPr>
          <w:p w:rsidR="004C7E12" w:rsidRPr="00075199" w:rsidRDefault="004C7E12" w:rsidP="00075199">
            <w:pPr>
              <w:pStyle w:val="ColorfulList-Accent11"/>
              <w:spacing w:after="0"/>
              <w:ind w:left="0" w:right="0" w:firstLine="34"/>
              <w:jc w:val="left"/>
              <w:rPr>
                <w:szCs w:val="22"/>
              </w:rPr>
            </w:pPr>
            <w:r w:rsidRPr="00075199">
              <w:rPr>
                <w:szCs w:val="22"/>
              </w:rPr>
              <w:t>Georgia Association of Manufacturers</w:t>
            </w:r>
          </w:p>
        </w:tc>
      </w:tr>
      <w:tr w:rsidR="004C7E12" w:rsidRPr="00465212" w:rsidTr="00AD7246">
        <w:trPr>
          <w:trHeight w:val="432"/>
          <w:jc w:val="center"/>
        </w:trPr>
        <w:tc>
          <w:tcPr>
            <w:tcW w:w="1296" w:type="dxa"/>
            <w:vAlign w:val="center"/>
          </w:tcPr>
          <w:p w:rsidR="004C7E12" w:rsidRPr="00297BB2" w:rsidRDefault="004C7E12" w:rsidP="0032318E">
            <w:pPr>
              <w:pStyle w:val="ColorfulList-Accent11"/>
              <w:spacing w:after="0"/>
              <w:ind w:left="0" w:right="0" w:firstLine="44"/>
              <w:jc w:val="left"/>
              <w:rPr>
                <w:b/>
                <w:szCs w:val="22"/>
              </w:rPr>
            </w:pPr>
            <w:r w:rsidRPr="00297BB2">
              <w:rPr>
                <w:b/>
                <w:szCs w:val="22"/>
              </w:rPr>
              <w:t>GIG</w:t>
            </w:r>
          </w:p>
        </w:tc>
        <w:tc>
          <w:tcPr>
            <w:tcW w:w="4032" w:type="dxa"/>
            <w:vAlign w:val="center"/>
          </w:tcPr>
          <w:p w:rsidR="004C7E12" w:rsidRPr="00075199" w:rsidRDefault="004C7E12" w:rsidP="0032318E">
            <w:pPr>
              <w:pStyle w:val="ColorfulList-Accent11"/>
              <w:spacing w:after="0"/>
              <w:ind w:left="0" w:right="0" w:firstLine="34"/>
              <w:jc w:val="left"/>
              <w:rPr>
                <w:szCs w:val="22"/>
              </w:rPr>
            </w:pPr>
            <w:r w:rsidRPr="00075199">
              <w:rPr>
                <w:szCs w:val="22"/>
              </w:rPr>
              <w:t>Georgia Industrial Group</w:t>
            </w:r>
          </w:p>
        </w:tc>
      </w:tr>
      <w:tr w:rsidR="004C7E12" w:rsidRPr="00465212" w:rsidTr="00AD7246">
        <w:trPr>
          <w:trHeight w:val="432"/>
          <w:jc w:val="center"/>
        </w:trPr>
        <w:tc>
          <w:tcPr>
            <w:tcW w:w="1296" w:type="dxa"/>
            <w:vAlign w:val="center"/>
          </w:tcPr>
          <w:p w:rsidR="004C7E12" w:rsidRPr="00297BB2" w:rsidRDefault="004C7E12" w:rsidP="0032318E">
            <w:pPr>
              <w:pStyle w:val="ColorfulList-Accent11"/>
              <w:spacing w:after="0"/>
              <w:ind w:left="0" w:right="0" w:firstLine="44"/>
              <w:jc w:val="left"/>
              <w:rPr>
                <w:b/>
                <w:szCs w:val="22"/>
              </w:rPr>
            </w:pPr>
            <w:r>
              <w:rPr>
                <w:b/>
                <w:szCs w:val="22"/>
              </w:rPr>
              <w:t>GPC</w:t>
            </w:r>
          </w:p>
        </w:tc>
        <w:tc>
          <w:tcPr>
            <w:tcW w:w="4032" w:type="dxa"/>
            <w:vAlign w:val="center"/>
          </w:tcPr>
          <w:p w:rsidR="004C7E12" w:rsidRPr="00075199" w:rsidRDefault="004C7E12" w:rsidP="0032318E">
            <w:pPr>
              <w:pStyle w:val="ColorfulList-Accent11"/>
              <w:spacing w:after="0"/>
              <w:ind w:left="0" w:right="0" w:firstLine="34"/>
              <w:jc w:val="left"/>
              <w:rPr>
                <w:szCs w:val="22"/>
              </w:rPr>
            </w:pPr>
            <w:r>
              <w:rPr>
                <w:szCs w:val="22"/>
              </w:rPr>
              <w:t>Georgia Power Company</w:t>
            </w:r>
          </w:p>
        </w:tc>
      </w:tr>
      <w:tr w:rsidR="004C7E12" w:rsidRPr="00465212" w:rsidTr="00AD7246">
        <w:trPr>
          <w:trHeight w:val="432"/>
          <w:jc w:val="center"/>
        </w:trPr>
        <w:tc>
          <w:tcPr>
            <w:tcW w:w="1296" w:type="dxa"/>
            <w:vAlign w:val="center"/>
          </w:tcPr>
          <w:p w:rsidR="004C7E12" w:rsidRPr="00297BB2" w:rsidRDefault="00E55601" w:rsidP="0032318E">
            <w:pPr>
              <w:pStyle w:val="ColorfulList-Accent11"/>
              <w:spacing w:after="0"/>
              <w:ind w:left="0" w:right="0" w:firstLine="44"/>
              <w:jc w:val="left"/>
              <w:rPr>
                <w:b/>
                <w:szCs w:val="22"/>
              </w:rPr>
            </w:pPr>
            <w:r>
              <w:rPr>
                <w:b/>
                <w:szCs w:val="22"/>
              </w:rPr>
              <w:t>IFR</w:t>
            </w:r>
          </w:p>
        </w:tc>
        <w:tc>
          <w:tcPr>
            <w:tcW w:w="4032" w:type="dxa"/>
            <w:vAlign w:val="center"/>
          </w:tcPr>
          <w:p w:rsidR="004C7E12" w:rsidRPr="00075199" w:rsidRDefault="00E55601" w:rsidP="00D23688">
            <w:pPr>
              <w:pStyle w:val="ColorfulList-Accent11"/>
              <w:spacing w:after="0"/>
              <w:ind w:left="0" w:right="0" w:firstLine="0"/>
              <w:jc w:val="left"/>
              <w:rPr>
                <w:szCs w:val="22"/>
              </w:rPr>
            </w:pPr>
            <w:r>
              <w:t xml:space="preserve">Interim Fuel </w:t>
            </w:r>
            <w:r w:rsidR="00D23688">
              <w:t>Rider</w:t>
            </w:r>
          </w:p>
        </w:tc>
      </w:tr>
      <w:tr w:rsidR="00E55601" w:rsidRPr="00465212" w:rsidTr="00AD7246">
        <w:trPr>
          <w:trHeight w:val="432"/>
          <w:jc w:val="center"/>
        </w:trPr>
        <w:tc>
          <w:tcPr>
            <w:tcW w:w="1296" w:type="dxa"/>
            <w:vAlign w:val="center"/>
          </w:tcPr>
          <w:p w:rsidR="00E55601" w:rsidRPr="00297BB2" w:rsidRDefault="00E55601" w:rsidP="009F7187">
            <w:pPr>
              <w:pStyle w:val="ColorfulList-Accent11"/>
              <w:spacing w:after="0"/>
              <w:ind w:left="0" w:right="0" w:firstLine="44"/>
              <w:jc w:val="left"/>
              <w:rPr>
                <w:b/>
                <w:szCs w:val="22"/>
              </w:rPr>
            </w:pPr>
            <w:r>
              <w:rPr>
                <w:b/>
                <w:szCs w:val="22"/>
              </w:rPr>
              <w:t>MMB</w:t>
            </w:r>
            <w:r w:rsidR="009F7187">
              <w:rPr>
                <w:b/>
                <w:szCs w:val="22"/>
              </w:rPr>
              <w:t>tu</w:t>
            </w:r>
          </w:p>
        </w:tc>
        <w:tc>
          <w:tcPr>
            <w:tcW w:w="4032" w:type="dxa"/>
            <w:vAlign w:val="center"/>
          </w:tcPr>
          <w:p w:rsidR="00E55601" w:rsidRPr="00075199" w:rsidRDefault="00E55601" w:rsidP="00E55601">
            <w:pPr>
              <w:pStyle w:val="ColorfulList-Accent11"/>
              <w:spacing w:after="0"/>
              <w:ind w:left="0" w:right="0" w:firstLine="34"/>
              <w:jc w:val="left"/>
              <w:rPr>
                <w:szCs w:val="22"/>
              </w:rPr>
            </w:pPr>
            <w:r>
              <w:rPr>
                <w:rFonts w:cs="Arial"/>
                <w:color w:val="222222"/>
                <w:shd w:val="clear" w:color="auto" w:fill="FFFFFF"/>
              </w:rPr>
              <w:t>One Million British Thermal Units</w:t>
            </w:r>
          </w:p>
        </w:tc>
      </w:tr>
    </w:tbl>
    <w:p w:rsidR="00022907" w:rsidRDefault="00022907" w:rsidP="00022907">
      <w:pPr>
        <w:suppressLineNumbers/>
        <w:spacing w:after="120"/>
        <w:rPr>
          <w:b/>
        </w:rPr>
        <w:sectPr w:rsidR="00022907" w:rsidSect="00297BB2">
          <w:footerReference w:type="default" r:id="rId12"/>
          <w:pgSz w:w="12240" w:h="15840"/>
          <w:pgMar w:top="1440" w:right="1440" w:bottom="1440" w:left="1800" w:header="720" w:footer="720" w:gutter="0"/>
          <w:paperSrc w:first="264" w:other="264"/>
          <w:lnNumType w:countBy="1"/>
          <w:cols w:space="720"/>
          <w:docGrid w:linePitch="360"/>
        </w:sectPr>
      </w:pPr>
    </w:p>
    <w:p w:rsidR="000430C2" w:rsidRPr="00133CFF" w:rsidRDefault="000430C2" w:rsidP="00133CFF">
      <w:pPr>
        <w:pStyle w:val="Heading1"/>
        <w:suppressLineNumbers/>
        <w:rPr>
          <w:u w:val="single"/>
        </w:rPr>
      </w:pPr>
      <w:bookmarkStart w:id="17" w:name="_Toc434238606"/>
      <w:bookmarkEnd w:id="14"/>
      <w:bookmarkEnd w:id="15"/>
      <w:bookmarkEnd w:id="16"/>
      <w:r w:rsidRPr="00133CFF">
        <w:rPr>
          <w:u w:val="single"/>
        </w:rPr>
        <w:lastRenderedPageBreak/>
        <w:t>Direct Testimony of Jeffry Pollock</w:t>
      </w:r>
      <w:bookmarkEnd w:id="17"/>
    </w:p>
    <w:p w:rsidR="000430C2" w:rsidRPr="00D97342" w:rsidRDefault="000430C2" w:rsidP="000430C2">
      <w:pPr>
        <w:pStyle w:val="TestimonyQ"/>
        <w:tabs>
          <w:tab w:val="right" w:pos="8866"/>
        </w:tabs>
        <w:rPr>
          <w:rFonts w:cs="Arial"/>
          <w:szCs w:val="22"/>
        </w:rPr>
      </w:pPr>
      <w:r w:rsidRPr="00D97342">
        <w:rPr>
          <w:rFonts w:cs="Arial"/>
          <w:szCs w:val="22"/>
        </w:rPr>
        <w:t>Q</w:t>
      </w:r>
      <w:r w:rsidRPr="00D97342">
        <w:rPr>
          <w:rFonts w:cs="Arial"/>
          <w:szCs w:val="22"/>
        </w:rPr>
        <w:tab/>
        <w:t>PLEASE STATE YOUR NAME AND BUSINESS ADDRESS.</w:t>
      </w:r>
      <w:r w:rsidRPr="00D97342">
        <w:rPr>
          <w:rFonts w:cs="Arial"/>
          <w:szCs w:val="22"/>
        </w:rPr>
        <w:tab/>
      </w:r>
    </w:p>
    <w:p w:rsidR="000430C2" w:rsidRPr="0076458B" w:rsidRDefault="00075199" w:rsidP="0076458B">
      <w:pPr>
        <w:pStyle w:val="TestimonyA"/>
        <w:rPr>
          <w:rFonts w:cs="Arial"/>
        </w:rPr>
      </w:pPr>
      <w:r>
        <w:rPr>
          <w:rFonts w:cs="Arial"/>
        </w:rPr>
        <w:t>A</w:t>
      </w:r>
      <w:r>
        <w:rPr>
          <w:rFonts w:cs="Arial"/>
        </w:rPr>
        <w:tab/>
        <w:t>Jeffry Pollock; 12647 Olive Blvd., Suite 585</w:t>
      </w:r>
      <w:r w:rsidR="000430C2">
        <w:rPr>
          <w:rFonts w:cs="Arial"/>
        </w:rPr>
        <w:t>;</w:t>
      </w:r>
      <w:r w:rsidR="000430C2" w:rsidRPr="00D97342">
        <w:rPr>
          <w:rFonts w:cs="Arial"/>
        </w:rPr>
        <w:t xml:space="preserve"> St. Louis, M</w:t>
      </w:r>
      <w:r w:rsidR="000430C2">
        <w:rPr>
          <w:rFonts w:cs="Arial"/>
        </w:rPr>
        <w:t>o.,</w:t>
      </w:r>
      <w:r w:rsidR="000430C2" w:rsidRPr="00D97342">
        <w:rPr>
          <w:rFonts w:cs="Arial"/>
        </w:rPr>
        <w:t xml:space="preserve"> 63141.</w:t>
      </w:r>
    </w:p>
    <w:p w:rsidR="000430C2" w:rsidRPr="00D97342" w:rsidRDefault="000430C2" w:rsidP="000430C2">
      <w:pPr>
        <w:pStyle w:val="TestimonyQ"/>
        <w:rPr>
          <w:rFonts w:cs="Arial"/>
          <w:szCs w:val="22"/>
        </w:rPr>
      </w:pPr>
      <w:r w:rsidRPr="00D97342">
        <w:rPr>
          <w:rFonts w:cs="Arial"/>
          <w:szCs w:val="22"/>
        </w:rPr>
        <w:t>Q</w:t>
      </w:r>
      <w:r w:rsidRPr="00D97342">
        <w:rPr>
          <w:rFonts w:cs="Arial"/>
          <w:szCs w:val="22"/>
        </w:rPr>
        <w:tab/>
        <w:t>WHAT IS YOUR OCCUPATION AND BY WHOM ARE YOU EMPLOYED?</w:t>
      </w:r>
    </w:p>
    <w:p w:rsidR="000430C2" w:rsidRPr="00D97342" w:rsidRDefault="000430C2" w:rsidP="0076458B">
      <w:pPr>
        <w:pStyle w:val="TestimonyA"/>
        <w:rPr>
          <w:rFonts w:cs="Arial"/>
        </w:rPr>
      </w:pPr>
      <w:r w:rsidRPr="00D97342">
        <w:rPr>
          <w:rFonts w:cs="Arial"/>
          <w:szCs w:val="22"/>
        </w:rPr>
        <w:t>A</w:t>
      </w:r>
      <w:r w:rsidRPr="00D97342">
        <w:rPr>
          <w:rFonts w:cs="Arial"/>
          <w:szCs w:val="22"/>
        </w:rPr>
        <w:tab/>
      </w:r>
      <w:r w:rsidRPr="00D97342">
        <w:rPr>
          <w:rFonts w:cs="Arial"/>
        </w:rPr>
        <w:t>I am an energy advisor and President of J.Pollock, Incorporated.</w:t>
      </w:r>
    </w:p>
    <w:p w:rsidR="000430C2" w:rsidRPr="00D97342" w:rsidRDefault="000430C2" w:rsidP="000430C2">
      <w:pPr>
        <w:pStyle w:val="TestimonyQ"/>
        <w:rPr>
          <w:rFonts w:cs="Arial"/>
          <w:szCs w:val="22"/>
        </w:rPr>
      </w:pPr>
      <w:r w:rsidRPr="00D97342">
        <w:rPr>
          <w:rFonts w:cs="Arial"/>
          <w:szCs w:val="22"/>
        </w:rPr>
        <w:t>Q</w:t>
      </w:r>
      <w:r w:rsidRPr="00D97342">
        <w:rPr>
          <w:rFonts w:cs="Arial"/>
          <w:szCs w:val="22"/>
        </w:rPr>
        <w:tab/>
        <w:t>Please state your educational background and experience.</w:t>
      </w:r>
    </w:p>
    <w:p w:rsidR="000430C2" w:rsidRPr="00F51F3E" w:rsidRDefault="000430C2" w:rsidP="00316369">
      <w:pPr>
        <w:pStyle w:val="TestimonyA"/>
        <w:rPr>
          <w:rFonts w:cs="Arial"/>
        </w:rPr>
      </w:pPr>
      <w:r w:rsidRPr="00D97342">
        <w:rPr>
          <w:rFonts w:cs="Arial"/>
        </w:rPr>
        <w:t>A</w:t>
      </w:r>
      <w:r w:rsidRPr="00D97342">
        <w:rPr>
          <w:rFonts w:cs="Arial"/>
        </w:rPr>
        <w:tab/>
        <w:t xml:space="preserve">I have a Bachelor of Science Degree in Electrical Engineering and a Masters in Business Administration both from Washington University.  Since graduation in 1975, I have been engaged in a variety of consulting assignments including energy procurement and regulatory matters in both the United States and several Canadian provinces.  I have participated in </w:t>
      </w:r>
      <w:r>
        <w:rPr>
          <w:rFonts w:cs="Arial"/>
        </w:rPr>
        <w:t>numerous</w:t>
      </w:r>
      <w:r w:rsidRPr="00D97342">
        <w:rPr>
          <w:rFonts w:cs="Arial"/>
        </w:rPr>
        <w:t xml:space="preserve"> regulatory matters before this Commission since 197</w:t>
      </w:r>
      <w:r w:rsidR="0022749A">
        <w:rPr>
          <w:rFonts w:cs="Arial"/>
        </w:rPr>
        <w:t>6</w:t>
      </w:r>
      <w:r w:rsidRPr="00D97342">
        <w:rPr>
          <w:rFonts w:cs="Arial"/>
        </w:rPr>
        <w:t>.  More details are provided i</w:t>
      </w:r>
      <w:r w:rsidR="00316369">
        <w:rPr>
          <w:rFonts w:cs="Arial"/>
        </w:rPr>
        <w:t xml:space="preserve">n </w:t>
      </w:r>
      <w:r w:rsidR="00316369" w:rsidRPr="00F51F3E">
        <w:rPr>
          <w:rFonts w:cs="Arial"/>
          <w:b/>
        </w:rPr>
        <w:t>Appendix A</w:t>
      </w:r>
      <w:r w:rsidR="00316369">
        <w:rPr>
          <w:rFonts w:cs="Arial"/>
        </w:rPr>
        <w:t xml:space="preserve"> </w:t>
      </w:r>
      <w:r w:rsidR="00F51F3E">
        <w:rPr>
          <w:rFonts w:cs="Arial"/>
        </w:rPr>
        <w:t>of</w:t>
      </w:r>
      <w:r w:rsidR="00316369">
        <w:rPr>
          <w:rFonts w:cs="Arial"/>
        </w:rPr>
        <w:t xml:space="preserve"> this testimony.</w:t>
      </w:r>
      <w:r w:rsidR="00F51F3E">
        <w:rPr>
          <w:rFonts w:cs="Arial"/>
        </w:rPr>
        <w:t xml:space="preserve">  A partial list of appearances is provided in </w:t>
      </w:r>
      <w:r w:rsidR="00F51F3E">
        <w:rPr>
          <w:rFonts w:cs="Arial"/>
          <w:b/>
        </w:rPr>
        <w:t>Appendix B</w:t>
      </w:r>
      <w:r w:rsidR="00F51F3E">
        <w:rPr>
          <w:rFonts w:cs="Arial"/>
        </w:rPr>
        <w:t xml:space="preserve">.  </w:t>
      </w:r>
    </w:p>
    <w:p w:rsidR="000430C2" w:rsidRPr="0085210C" w:rsidRDefault="000430C2" w:rsidP="000430C2">
      <w:pPr>
        <w:pStyle w:val="TestimonyQ"/>
      </w:pPr>
      <w:r w:rsidRPr="0085210C">
        <w:t>Q</w:t>
      </w:r>
      <w:r w:rsidRPr="0085210C">
        <w:tab/>
        <w:t xml:space="preserve">ON WHOSE BEHALF ARE YOU TESTIFYING IN THIS PROCEEDING? </w:t>
      </w:r>
    </w:p>
    <w:p w:rsidR="000430C2" w:rsidRDefault="000430C2" w:rsidP="00316369">
      <w:pPr>
        <w:pStyle w:val="TestimonyA"/>
      </w:pPr>
      <w:r w:rsidRPr="0085210C">
        <w:t>A</w:t>
      </w:r>
      <w:r w:rsidRPr="0085210C">
        <w:tab/>
        <w:t>I am testifying on behalf of the Georgia Industrial Group</w:t>
      </w:r>
      <w:r>
        <w:t xml:space="preserve"> </w:t>
      </w:r>
      <w:r w:rsidRPr="0085210C">
        <w:t xml:space="preserve">(GIG) and the Georgia Association </w:t>
      </w:r>
      <w:r w:rsidR="00075199">
        <w:t>of Manufacturers (GAM</w:t>
      </w:r>
      <w:r w:rsidR="00966F4B">
        <w:t>).  GIG and GAM</w:t>
      </w:r>
      <w:r w:rsidRPr="0085210C">
        <w:t xml:space="preserve"> members are customers of Georgia Power Company (GPC).  They consume large quantities of electricity primarily for manufacturing under a variety of tariffs.  Together, these two groups represent </w:t>
      </w:r>
      <w:r>
        <w:t xml:space="preserve">a </w:t>
      </w:r>
      <w:r w:rsidRPr="00024D2A">
        <w:t>significant amount</w:t>
      </w:r>
      <w:r w:rsidRPr="0085210C">
        <w:t xml:space="preserve"> of </w:t>
      </w:r>
      <w:r>
        <w:t>the</w:t>
      </w:r>
      <w:r w:rsidRPr="0085210C">
        <w:t xml:space="preserve"> energy s</w:t>
      </w:r>
      <w:r>
        <w:t>old to the Large Business and Marginally Priced customer classes</w:t>
      </w:r>
      <w:r w:rsidRPr="0085210C">
        <w:t>.</w:t>
      </w:r>
    </w:p>
    <w:p w:rsidR="000430C2" w:rsidRPr="0085210C" w:rsidRDefault="000430C2" w:rsidP="000430C2">
      <w:pPr>
        <w:pStyle w:val="TestimonyQ"/>
      </w:pPr>
      <w:r w:rsidRPr="0085210C">
        <w:t>Q</w:t>
      </w:r>
      <w:r w:rsidRPr="0085210C">
        <w:tab/>
        <w:t xml:space="preserve">WHAT ISSUES ARE YOU ADDRESSING IN YOUR TESTIMONY? </w:t>
      </w:r>
    </w:p>
    <w:p w:rsidR="000619DF" w:rsidRDefault="000430C2" w:rsidP="00E60870">
      <w:pPr>
        <w:pStyle w:val="TestimonyA"/>
      </w:pPr>
      <w:r w:rsidRPr="0085210C">
        <w:t>A</w:t>
      </w:r>
      <w:r w:rsidRPr="0085210C">
        <w:tab/>
      </w:r>
      <w:r w:rsidR="00C607F8">
        <w:t xml:space="preserve"> </w:t>
      </w:r>
      <w:r w:rsidR="00786E36">
        <w:t>I address</w:t>
      </w:r>
      <w:r w:rsidR="000619DF">
        <w:t>:</w:t>
      </w:r>
    </w:p>
    <w:p w:rsidR="00620706" w:rsidRDefault="000619DF" w:rsidP="00CA1C7A">
      <w:pPr>
        <w:pStyle w:val="Bullets"/>
      </w:pPr>
      <w:r>
        <w:t>T</w:t>
      </w:r>
      <w:r w:rsidR="00786E36">
        <w:t xml:space="preserve">he natural gas price assumptions used in developing the proposed FCR-24 rate.  </w:t>
      </w:r>
    </w:p>
    <w:p w:rsidR="00C607F8" w:rsidRDefault="00786E36" w:rsidP="00CA1C7A">
      <w:pPr>
        <w:pStyle w:val="Bullets"/>
      </w:pPr>
      <w:r>
        <w:lastRenderedPageBreak/>
        <w:t xml:space="preserve">GPC’s proposed changes to the Interim Fuel </w:t>
      </w:r>
      <w:r w:rsidR="0007629D">
        <w:t>Rider</w:t>
      </w:r>
      <w:r w:rsidR="000619DF">
        <w:t xml:space="preserve"> (IFR) mechanism;</w:t>
      </w:r>
    </w:p>
    <w:p w:rsidR="000619DF" w:rsidRDefault="000619DF" w:rsidP="00CA1C7A">
      <w:pPr>
        <w:pStyle w:val="Bullets"/>
      </w:pPr>
      <w:r>
        <w:t>The proposed summer/winter FCR</w:t>
      </w:r>
      <w:r w:rsidR="00620706">
        <w:t>-24</w:t>
      </w:r>
      <w:r>
        <w:t xml:space="preserve"> rates; and</w:t>
      </w:r>
    </w:p>
    <w:p w:rsidR="000619DF" w:rsidRDefault="000619DF" w:rsidP="00CA1C7A">
      <w:pPr>
        <w:pStyle w:val="Bullets"/>
      </w:pPr>
      <w:r>
        <w:t>Imputed capacity.</w:t>
      </w:r>
    </w:p>
    <w:p w:rsidR="000430C2" w:rsidRPr="008B79EB" w:rsidRDefault="000430C2" w:rsidP="00CA1C7A">
      <w:pPr>
        <w:pStyle w:val="TestimonyQ"/>
        <w:spacing w:before="360"/>
        <w:rPr>
          <w:rFonts w:cs="Arial"/>
          <w:szCs w:val="22"/>
        </w:rPr>
      </w:pPr>
      <w:r w:rsidRPr="008B79EB">
        <w:rPr>
          <w:rFonts w:cs="Arial"/>
          <w:szCs w:val="22"/>
        </w:rPr>
        <w:t>Q</w:t>
      </w:r>
      <w:r w:rsidRPr="008B79EB">
        <w:rPr>
          <w:rFonts w:cs="Arial"/>
          <w:szCs w:val="22"/>
        </w:rPr>
        <w:tab/>
      </w:r>
      <w:r w:rsidRPr="003F544D">
        <w:t>ARE YOU SPONSORING ANY EXHIBITS WITH YOUR TESTIMONY</w:t>
      </w:r>
      <w:r w:rsidRPr="008B79EB">
        <w:rPr>
          <w:rFonts w:cs="Arial"/>
          <w:szCs w:val="22"/>
        </w:rPr>
        <w:t xml:space="preserve">? </w:t>
      </w:r>
    </w:p>
    <w:p w:rsidR="000430C2" w:rsidRDefault="000430C2" w:rsidP="000430C2">
      <w:pPr>
        <w:pStyle w:val="TestimonyA"/>
      </w:pPr>
      <w:r w:rsidRPr="0085210C">
        <w:t>A</w:t>
      </w:r>
      <w:r w:rsidRPr="0085210C">
        <w:tab/>
        <w:t xml:space="preserve">Yes.  I am sponsoring </w:t>
      </w:r>
      <w:r w:rsidRPr="00AD346F">
        <w:rPr>
          <w:b/>
        </w:rPr>
        <w:t>Exhibits JP-</w:t>
      </w:r>
      <w:r w:rsidR="001C7E6D">
        <w:rPr>
          <w:b/>
        </w:rPr>
        <w:t>1</w:t>
      </w:r>
      <w:r w:rsidR="00541B84" w:rsidRPr="00541B84">
        <w:t xml:space="preserve"> through</w:t>
      </w:r>
      <w:r w:rsidR="00541B84">
        <w:rPr>
          <w:b/>
        </w:rPr>
        <w:t xml:space="preserve"> JP-4</w:t>
      </w:r>
      <w:r w:rsidR="00FB7B0C">
        <w:t>.</w:t>
      </w:r>
      <w:r w:rsidR="009D3570">
        <w:t xml:space="preserve">  These</w:t>
      </w:r>
      <w:r w:rsidR="00FB7B0C">
        <w:t xml:space="preserve"> exhibit</w:t>
      </w:r>
      <w:r w:rsidR="009D3570">
        <w:t>s were</w:t>
      </w:r>
      <w:r w:rsidRPr="0085210C">
        <w:t xml:space="preserve"> prepared by me or under my direction and supervision. </w:t>
      </w:r>
      <w:r w:rsidR="00F51F3E">
        <w:t xml:space="preserve"> </w:t>
      </w:r>
    </w:p>
    <w:p w:rsidR="00A42A8B" w:rsidRDefault="00A42A8B" w:rsidP="00A42A8B">
      <w:pPr>
        <w:pStyle w:val="Heading2"/>
      </w:pPr>
      <w:bookmarkStart w:id="18" w:name="_Toc434238607"/>
      <w:r>
        <w:t>Natural Gas Price Assumptions</w:t>
      </w:r>
      <w:bookmarkEnd w:id="18"/>
    </w:p>
    <w:p w:rsidR="00A42A8B" w:rsidRDefault="00A42A8B" w:rsidP="00A42A8B">
      <w:pPr>
        <w:pStyle w:val="TestimonyQ"/>
        <w:spacing w:before="240"/>
      </w:pPr>
      <w:r>
        <w:t>q</w:t>
      </w:r>
      <w:r>
        <w:tab/>
        <w:t xml:space="preserve">Have you reviewed the </w:t>
      </w:r>
      <w:r w:rsidR="00620706">
        <w:t>natural gas</w:t>
      </w:r>
      <w:r>
        <w:t xml:space="preserve"> price assumptions used by georgia power company in developing the proposed fcr-24 rate?</w:t>
      </w:r>
    </w:p>
    <w:p w:rsidR="00A42A8B" w:rsidRDefault="00A42A8B" w:rsidP="00A42A8B">
      <w:pPr>
        <w:pStyle w:val="TestimonyA"/>
      </w:pPr>
      <w:r>
        <w:t>A</w:t>
      </w:r>
      <w:r>
        <w:tab/>
        <w:t>Yes.  GPC</w:t>
      </w:r>
      <w:r w:rsidR="00620706">
        <w:t>’s projected recoverable FCR-24 costs are based on the assumption</w:t>
      </w:r>
      <w:r>
        <w:t xml:space="preserve"> that NYMEX futures contracts </w:t>
      </w:r>
      <w:r w:rsidR="00620706">
        <w:t xml:space="preserve">for </w:t>
      </w:r>
      <w:r w:rsidR="00E91775">
        <w:t xml:space="preserve">each of </w:t>
      </w:r>
      <w:r w:rsidR="00620706">
        <w:t xml:space="preserve">the 24 months in the </w:t>
      </w:r>
      <w:r w:rsidR="00E91775">
        <w:t xml:space="preserve">FCR-24 </w:t>
      </w:r>
      <w:r w:rsidR="00620706">
        <w:t xml:space="preserve">test year (January 2016 through December 2017) </w:t>
      </w:r>
      <w:r>
        <w:t>would average $3.43 per MMB</w:t>
      </w:r>
      <w:r w:rsidR="00620706">
        <w:t>t</w:t>
      </w:r>
      <w:r w:rsidR="00071635">
        <w:t>u</w:t>
      </w:r>
      <w:r w:rsidR="00620706">
        <w:t>.</w:t>
      </w:r>
      <w:r w:rsidR="003505D8">
        <w:rPr>
          <w:rStyle w:val="FootnoteReference"/>
        </w:rPr>
        <w:footnoteReference w:id="2"/>
      </w:r>
      <w:r w:rsidR="00620706">
        <w:t xml:space="preserve">  The $3.43 is based on closing prices on February 20, 2015.</w:t>
      </w:r>
      <w:r>
        <w:rPr>
          <w:rStyle w:val="FootnoteReference"/>
        </w:rPr>
        <w:footnoteReference w:id="3"/>
      </w:r>
    </w:p>
    <w:p w:rsidR="00A42A8B" w:rsidRDefault="00A42A8B" w:rsidP="00A42A8B">
      <w:pPr>
        <w:pStyle w:val="TestimonyQ"/>
        <w:spacing w:before="240"/>
      </w:pPr>
      <w:r>
        <w:t>q</w:t>
      </w:r>
      <w:r w:rsidR="00BE20B8">
        <w:tab/>
        <w:t>How does the assumed natural gas commodity price for fcr-24 compare with the corresponding natural gas price used in setting fcr-23?</w:t>
      </w:r>
    </w:p>
    <w:p w:rsidR="00A42A8B" w:rsidRDefault="00A42A8B" w:rsidP="00A42A8B">
      <w:pPr>
        <w:pStyle w:val="TestimonyA"/>
      </w:pPr>
      <w:r>
        <w:t>A</w:t>
      </w:r>
      <w:r w:rsidR="00BE20B8">
        <w:tab/>
        <w:t>The current FCR-23 rate was based on a natural gas commodity price of $3.60 per MMB</w:t>
      </w:r>
      <w:r w:rsidR="00983404">
        <w:t>t</w:t>
      </w:r>
      <w:r w:rsidR="00071635">
        <w:t>u</w:t>
      </w:r>
      <w:r w:rsidR="00BE20B8">
        <w:t>.</w:t>
      </w:r>
      <w:r w:rsidR="00BE20B8">
        <w:rPr>
          <w:rStyle w:val="FootnoteReference"/>
        </w:rPr>
        <w:footnoteReference w:id="4"/>
      </w:r>
      <w:r w:rsidR="00B66392">
        <w:t xml:space="preserve">  Thus, FCR-24 reflects only a modest 5% decrease in natural gas futures prices. </w:t>
      </w:r>
    </w:p>
    <w:p w:rsidR="00A42A8B" w:rsidRDefault="00A42A8B" w:rsidP="00983404">
      <w:pPr>
        <w:pStyle w:val="TestimonyQ"/>
        <w:keepNext/>
      </w:pPr>
      <w:r>
        <w:lastRenderedPageBreak/>
        <w:t>q</w:t>
      </w:r>
      <w:r>
        <w:tab/>
      </w:r>
      <w:r w:rsidR="00B66392">
        <w:t>Have natu</w:t>
      </w:r>
      <w:r w:rsidR="00CD01AC">
        <w:t>ral gas prices changed since Georgia Power Company</w:t>
      </w:r>
      <w:r w:rsidR="00B66392">
        <w:t xml:space="preserve"> completed its forecast? </w:t>
      </w:r>
    </w:p>
    <w:p w:rsidR="00A42A8B" w:rsidRDefault="00A42A8B" w:rsidP="00A42A8B">
      <w:pPr>
        <w:pStyle w:val="TestimonyA"/>
      </w:pPr>
      <w:r>
        <w:t>A</w:t>
      </w:r>
      <w:r w:rsidR="00B66392">
        <w:tab/>
        <w:t xml:space="preserve">Yes.  </w:t>
      </w:r>
      <w:r w:rsidR="00983404">
        <w:t>A</w:t>
      </w:r>
      <w:r w:rsidR="00287280">
        <w:t>verage closing prices for the same NYMEX futures</w:t>
      </w:r>
      <w:r w:rsidR="003E1480">
        <w:t xml:space="preserve"> contracts have dropped to $2.89</w:t>
      </w:r>
      <w:r w:rsidR="00287280">
        <w:t xml:space="preserve"> per </w:t>
      </w:r>
      <w:r w:rsidR="00983404">
        <w:t>MMBtu</w:t>
      </w:r>
      <w:r w:rsidR="00287280">
        <w:t>.  The $2.8</w:t>
      </w:r>
      <w:r w:rsidR="003E1480">
        <w:t>9</w:t>
      </w:r>
      <w:r w:rsidR="00287280">
        <w:t xml:space="preserve"> per </w:t>
      </w:r>
      <w:r w:rsidR="00983404">
        <w:t>MMBtu</w:t>
      </w:r>
      <w:r w:rsidR="00287280">
        <w:t xml:space="preserve"> is the average closing price for the </w:t>
      </w:r>
      <w:r w:rsidR="00983404">
        <w:t xml:space="preserve">20-day </w:t>
      </w:r>
      <w:r w:rsidR="00287280">
        <w:t xml:space="preserve">period ending </w:t>
      </w:r>
      <w:r w:rsidR="00983404">
        <w:t xml:space="preserve">on </w:t>
      </w:r>
      <w:r w:rsidR="00287280">
        <w:t xml:space="preserve">October 26, 2015.  </w:t>
      </w:r>
      <w:r w:rsidR="00356D44">
        <w:t xml:space="preserve">This is $0.54 per MMBtu (or 16%) lower than GPC’s assumed gas commodity price.  </w:t>
      </w:r>
      <w:r w:rsidR="00287280">
        <w:t xml:space="preserve">A comparison between GPC’s and the current </w:t>
      </w:r>
      <w:r w:rsidR="003505D8">
        <w:t xml:space="preserve">monthly </w:t>
      </w:r>
      <w:r w:rsidR="00287280">
        <w:t xml:space="preserve">NYMEX futures contract closing prices is presented in </w:t>
      </w:r>
      <w:r w:rsidR="00287280" w:rsidRPr="003505D8">
        <w:rPr>
          <w:b/>
        </w:rPr>
        <w:t>Exhibit JP-1</w:t>
      </w:r>
      <w:r w:rsidR="00287280">
        <w:t xml:space="preserve">.  GPC’s projections are shown in red, while the most recent </w:t>
      </w:r>
      <w:r w:rsidR="003505D8">
        <w:t xml:space="preserve">monthly </w:t>
      </w:r>
      <w:r w:rsidR="00287280">
        <w:t xml:space="preserve">closing prices are shown in blue.  As can be seen, the </w:t>
      </w:r>
      <w:r w:rsidR="00356D44">
        <w:t xml:space="preserve">monthly prices are </w:t>
      </w:r>
      <w:r w:rsidR="00287280">
        <w:t xml:space="preserve">significantly below GPC’s FCR-24 estimate.  </w:t>
      </w:r>
    </w:p>
    <w:p w:rsidR="00A42A8B" w:rsidRDefault="00A42A8B" w:rsidP="00A42A8B">
      <w:pPr>
        <w:pStyle w:val="TestimonyQ"/>
        <w:spacing w:before="240"/>
      </w:pPr>
      <w:r>
        <w:t>q</w:t>
      </w:r>
      <w:r w:rsidR="002F4925">
        <w:tab/>
        <w:t>What is prompting the further decline in natural gas prices?</w:t>
      </w:r>
    </w:p>
    <w:p w:rsidR="00A42A8B" w:rsidRDefault="00A42A8B" w:rsidP="00A42A8B">
      <w:pPr>
        <w:pStyle w:val="TestimonyA"/>
      </w:pPr>
      <w:r>
        <w:t>A</w:t>
      </w:r>
      <w:r w:rsidR="002F4925">
        <w:tab/>
        <w:t xml:space="preserve">The continued decline in natural gas prices can be attributed to the same factors </w:t>
      </w:r>
      <w:r w:rsidR="009D3570">
        <w:t xml:space="preserve">as </w:t>
      </w:r>
      <w:r w:rsidR="002F4925">
        <w:t>discussed in Mr. Poroch’s testimony.  Specifically, Mr. Poroch discusses strong production levels buoyed by the continued use of hydraulic fracturing drilling techniques that have made gas from shale formations economically viable.</w:t>
      </w:r>
      <w:r w:rsidR="00E25C2F">
        <w:rPr>
          <w:rStyle w:val="FootnoteReference"/>
        </w:rPr>
        <w:footnoteReference w:id="5"/>
      </w:r>
      <w:r w:rsidR="00E25C2F">
        <w:t xml:space="preserve">  In addition, storage is projected to reach historical highs.  For </w:t>
      </w:r>
      <w:r w:rsidR="003E1480">
        <w:t xml:space="preserve">the week ending </w:t>
      </w:r>
      <w:r w:rsidR="00E25C2F">
        <w:t>October 2</w:t>
      </w:r>
      <w:r w:rsidR="003E1480">
        <w:t>3</w:t>
      </w:r>
      <w:r w:rsidR="003E1480" w:rsidRPr="003E1480">
        <w:rPr>
          <w:vertAlign w:val="superscript"/>
        </w:rPr>
        <w:t>rd</w:t>
      </w:r>
      <w:r w:rsidR="003E1480">
        <w:t>,</w:t>
      </w:r>
      <w:r w:rsidR="00DF6220">
        <w:t xml:space="preserve"> 3,877 Bcf</w:t>
      </w:r>
      <w:r w:rsidR="00E25C2F">
        <w:t xml:space="preserve"> of natural gas </w:t>
      </w:r>
      <w:r w:rsidR="00C65F8B">
        <w:t>was</w:t>
      </w:r>
      <w:r w:rsidR="00E25C2F">
        <w:t xml:space="preserve"> in storage.  This is 12% higher than </w:t>
      </w:r>
      <w:r w:rsidR="00C65F8B">
        <w:t>a</w:t>
      </w:r>
      <w:r w:rsidR="00E25C2F">
        <w:t xml:space="preserve"> y</w:t>
      </w:r>
      <w:r w:rsidR="00C65F8B">
        <w:t>ear ago and 4% higher than the five</w:t>
      </w:r>
      <w:r w:rsidR="00E25C2F">
        <w:t>-year average.  The other primary factor is weather-related.  Recent projections are calling for a milder-than-</w:t>
      </w:r>
      <w:r w:rsidR="00071635">
        <w:t xml:space="preserve">normal winter.  This is due to the El Nino effect.  </w:t>
      </w:r>
    </w:p>
    <w:p w:rsidR="00206894" w:rsidRDefault="00071635" w:rsidP="00A42A8B">
      <w:pPr>
        <w:pStyle w:val="TestimonyA"/>
        <w:sectPr w:rsidR="00206894" w:rsidSect="00297BB2">
          <w:footerReference w:type="default" r:id="rId13"/>
          <w:pgSz w:w="12240" w:h="15840" w:code="1"/>
          <w:pgMar w:top="1440" w:right="1440" w:bottom="1440" w:left="1728" w:header="576" w:footer="576" w:gutter="0"/>
          <w:lnNumType w:countBy="1"/>
          <w:cols w:space="720"/>
          <w:docGrid w:linePitch="71"/>
        </w:sectPr>
      </w:pPr>
      <w:r>
        <w:tab/>
      </w:r>
      <w:r>
        <w:tab/>
        <w:t xml:space="preserve">All of these factors are discussed in </w:t>
      </w:r>
      <w:r w:rsidRPr="009D3570">
        <w:rPr>
          <w:b/>
        </w:rPr>
        <w:t>Exhibit JP-2</w:t>
      </w:r>
      <w:r>
        <w:t>, which is a recent Bloomberg business article assessing the recent decline in natural gas prices.</w:t>
      </w:r>
    </w:p>
    <w:p w:rsidR="00A42A8B" w:rsidRDefault="00A42A8B" w:rsidP="00A42A8B">
      <w:pPr>
        <w:pStyle w:val="TestimonyQ"/>
      </w:pPr>
      <w:r>
        <w:lastRenderedPageBreak/>
        <w:t>q</w:t>
      </w:r>
      <w:r>
        <w:tab/>
      </w:r>
      <w:r w:rsidR="00071635">
        <w:t>What is the impact of the further 16% decline in natural gas prices?</w:t>
      </w:r>
    </w:p>
    <w:p w:rsidR="00A42A8B" w:rsidRDefault="00A42A8B" w:rsidP="00A42A8B">
      <w:pPr>
        <w:pStyle w:val="TestimonyA"/>
      </w:pPr>
      <w:r>
        <w:t>A</w:t>
      </w:r>
      <w:r w:rsidR="00071635">
        <w:tab/>
        <w:t>Mr. Poroch states that in 2016, a $1 change in natural gas prices could potentially increase fuel costs by $271 million.</w:t>
      </w:r>
      <w:r w:rsidR="00071635">
        <w:rPr>
          <w:rStyle w:val="FootnoteReference"/>
        </w:rPr>
        <w:footnoteReference w:id="6"/>
      </w:r>
      <w:r w:rsidR="007C274F">
        <w:t xml:space="preserve">  Using this metric, a 16% (or </w:t>
      </w:r>
      <w:r w:rsidR="00356D44">
        <w:t>$</w:t>
      </w:r>
      <w:r w:rsidR="007C274F">
        <w:t>0.54) decrease in natural gas prices would potentially re</w:t>
      </w:r>
      <w:bookmarkStart w:id="19" w:name="_GoBack"/>
      <w:bookmarkEnd w:id="19"/>
      <w:r w:rsidR="007C274F">
        <w:t>duce GPC’s FCR-24 test year fuel costs by $146 million.</w:t>
      </w:r>
    </w:p>
    <w:p w:rsidR="007C274F" w:rsidRDefault="007C274F" w:rsidP="00A42A8B">
      <w:pPr>
        <w:pStyle w:val="TestimonyA"/>
      </w:pPr>
      <w:r>
        <w:tab/>
      </w:r>
      <w:r>
        <w:tab/>
        <w:t>However, I believe that $146 million is a conservative estimate.  Elsewhere, GPC states that natural gas expenses are 46% of its total fuel costs.</w:t>
      </w:r>
      <w:r>
        <w:rPr>
          <w:rStyle w:val="FootnoteReference"/>
        </w:rPr>
        <w:footnoteReference w:id="7"/>
      </w:r>
      <w:r>
        <w:t xml:space="preserve">  The projected recoverable FCR fuel costs are </w:t>
      </w:r>
      <w:r w:rsidR="004D023C" w:rsidRPr="004D023C">
        <w:rPr>
          <w:highlight w:val="black"/>
        </w:rPr>
        <w:t>$REACTED</w:t>
      </w:r>
      <w:r>
        <w:t xml:space="preserve"> over 24 months.</w:t>
      </w:r>
      <w:r>
        <w:rPr>
          <w:rStyle w:val="FootnoteReference"/>
        </w:rPr>
        <w:footnoteReference w:id="8"/>
      </w:r>
      <w:r w:rsidR="00580E51">
        <w:t xml:space="preserve">  Thus, using this alternative metric, a 16% decrease in gas prices could reduce </w:t>
      </w:r>
      <w:r w:rsidR="000F6382">
        <w:t xml:space="preserve">the </w:t>
      </w:r>
      <w:r w:rsidR="00580E51">
        <w:t xml:space="preserve">projected </w:t>
      </w:r>
      <w:r w:rsidR="000F6382">
        <w:t xml:space="preserve">annual </w:t>
      </w:r>
      <w:r w:rsidR="00580E51">
        <w:t>FCR fuel expense by approximately $1</w:t>
      </w:r>
      <w:r w:rsidR="009C65F6">
        <w:t>63</w:t>
      </w:r>
      <w:r w:rsidR="00580E51">
        <w:t xml:space="preserve"> million.</w:t>
      </w:r>
    </w:p>
    <w:p w:rsidR="00A42A8B" w:rsidRDefault="00A42A8B" w:rsidP="00A42A8B">
      <w:pPr>
        <w:pStyle w:val="TestimonyQ"/>
        <w:spacing w:before="240"/>
      </w:pPr>
      <w:r>
        <w:t>q</w:t>
      </w:r>
      <w:r w:rsidR="00580E51">
        <w:tab/>
        <w:t>What do you recommend?</w:t>
      </w:r>
    </w:p>
    <w:p w:rsidR="00206894" w:rsidRDefault="00A42A8B" w:rsidP="00A42A8B">
      <w:pPr>
        <w:pStyle w:val="TestimonyA"/>
      </w:pPr>
      <w:r>
        <w:t>A</w:t>
      </w:r>
      <w:r w:rsidR="00580E51">
        <w:tab/>
        <w:t>FCR-24 should be further reduced to reflect the more recent lower closing prices of natural gas for NYMEX futures contracts traded during the FCR-24 test year.  As previously stated, t</w:t>
      </w:r>
      <w:r w:rsidR="001B14C9">
        <w:t>he 20-day average closing price</w:t>
      </w:r>
      <w:r w:rsidR="00580E51">
        <w:t xml:space="preserve"> was $2.8</w:t>
      </w:r>
      <w:r w:rsidR="000C2695">
        <w:t>9</w:t>
      </w:r>
      <w:r w:rsidR="00580E51">
        <w:t xml:space="preserve"> per </w:t>
      </w:r>
      <w:r w:rsidR="00983404">
        <w:t>MMBtu</w:t>
      </w:r>
      <w:r w:rsidR="00580E51">
        <w:t xml:space="preserve"> as of October 26, </w:t>
      </w:r>
      <w:r w:rsidR="001B14C9" w:rsidRPr="001B14C9">
        <w:t>2015 as compared to GPC’s proposed $3.43 per MMBtu.  Accordingly, setting the FCR-24 rate using an average test year natural gas price of $3 per MMBtu would better reflect the natural gas market during the test year and yet would still be a conservative projection.</w:t>
      </w:r>
    </w:p>
    <w:p w:rsidR="00206894" w:rsidRDefault="00206894" w:rsidP="00A42A8B">
      <w:pPr>
        <w:pStyle w:val="TestimonyA"/>
        <w:sectPr w:rsidR="00206894" w:rsidSect="00297BB2">
          <w:headerReference w:type="default" r:id="rId14"/>
          <w:pgSz w:w="12240" w:h="15840" w:code="1"/>
          <w:pgMar w:top="1440" w:right="1440" w:bottom="1440" w:left="1728" w:header="576" w:footer="576" w:gutter="0"/>
          <w:lnNumType w:countBy="1"/>
          <w:cols w:space="720"/>
          <w:docGrid w:linePitch="71"/>
        </w:sectPr>
      </w:pPr>
    </w:p>
    <w:p w:rsidR="00580E51" w:rsidRDefault="00580E51" w:rsidP="00A600CF">
      <w:pPr>
        <w:pStyle w:val="Heading2"/>
      </w:pPr>
      <w:bookmarkStart w:id="20" w:name="_Toc434238608"/>
      <w:r>
        <w:lastRenderedPageBreak/>
        <w:t>IFR Mechanism</w:t>
      </w:r>
      <w:bookmarkEnd w:id="20"/>
    </w:p>
    <w:p w:rsidR="00A42A8B" w:rsidRDefault="00A42A8B" w:rsidP="00A600CF">
      <w:pPr>
        <w:pStyle w:val="TestimonyQ"/>
        <w:keepNext/>
        <w:widowControl/>
        <w:spacing w:before="240"/>
      </w:pPr>
      <w:r>
        <w:t>q</w:t>
      </w:r>
      <w:r>
        <w:tab/>
      </w:r>
      <w:r w:rsidR="00095D74">
        <w:t xml:space="preserve">What changes is georgia power company proposing to the </w:t>
      </w:r>
      <w:r w:rsidR="009C65F6">
        <w:t>interim fuel rider</w:t>
      </w:r>
      <w:r w:rsidR="00095D74">
        <w:t xml:space="preserve"> mechanism?</w:t>
      </w:r>
    </w:p>
    <w:p w:rsidR="00A42A8B" w:rsidRDefault="00A42A8B" w:rsidP="00A42A8B">
      <w:pPr>
        <w:pStyle w:val="TestimonyA"/>
      </w:pPr>
      <w:r>
        <w:t>A</w:t>
      </w:r>
      <w:r w:rsidR="00095D74">
        <w:tab/>
        <w:t>GPC proposes to continue the IFR mechanism with two changes.  First, it is proposing to raise the IFR threshold from the current level of $200 million to $300 million.  Second, GPC requests that it be allowed 20 business days to file its plan in the event of an IFR trigger.</w:t>
      </w:r>
      <w:r w:rsidR="00A65D17">
        <w:rPr>
          <w:rStyle w:val="FootnoteReference"/>
        </w:rPr>
        <w:footnoteReference w:id="9"/>
      </w:r>
    </w:p>
    <w:p w:rsidR="00FA2C2F" w:rsidRDefault="00FA2C2F" w:rsidP="00FA2C2F">
      <w:pPr>
        <w:pStyle w:val="TestimonyQ"/>
      </w:pPr>
      <w:r>
        <w:t>q</w:t>
      </w:r>
      <w:r>
        <w:tab/>
        <w:t>Why is the company proposing to raise the trigger?</w:t>
      </w:r>
    </w:p>
    <w:p w:rsidR="00FA2C2F" w:rsidRDefault="00FA2C2F" w:rsidP="00FA2C2F">
      <w:pPr>
        <w:pStyle w:val="TestimonyA"/>
      </w:pPr>
      <w:r>
        <w:t>A</w:t>
      </w:r>
      <w:r>
        <w:tab/>
        <w:t xml:space="preserve">GPC acknowledges that the current $200 million was a compromise that the parties agreed upon in the settlement of the FCR-23 rate case.  However, a higher threshold </w:t>
      </w:r>
      <w:r w:rsidR="00A600CF">
        <w:t>would</w:t>
      </w:r>
      <w:r>
        <w:t xml:space="preserve"> lessen the need</w:t>
      </w:r>
      <w:r w:rsidR="00A600CF">
        <w:t xml:space="preserve"> for GPC</w:t>
      </w:r>
      <w:r>
        <w:t xml:space="preserve"> to file an IFR plan in the event there is a significant short-term divergence from the FCR-24 budget that results in a significant, but temporary, over or under-recovery.</w:t>
      </w:r>
      <w:r>
        <w:rPr>
          <w:rStyle w:val="FootnoteReference"/>
        </w:rPr>
        <w:footnoteReference w:id="10"/>
      </w:r>
      <w:r w:rsidR="00F27995">
        <w:t xml:space="preserve">  GPC also cites </w:t>
      </w:r>
      <w:r w:rsidR="009C65F6">
        <w:t xml:space="preserve">price spikes </w:t>
      </w:r>
      <w:r w:rsidR="00F27995">
        <w:t>occurring just after the “polar vortex” in early 2014 when the under-recovered balance breached the $200 million trigger in just three months.</w:t>
      </w:r>
    </w:p>
    <w:p w:rsidR="00FA2C2F" w:rsidRDefault="00FA2C2F" w:rsidP="00FA2C2F">
      <w:pPr>
        <w:pStyle w:val="TestimonyQ"/>
      </w:pPr>
      <w:r>
        <w:t>q</w:t>
      </w:r>
      <w:r w:rsidR="00F27995">
        <w:tab/>
        <w:t>What do you recommend?</w:t>
      </w:r>
    </w:p>
    <w:p w:rsidR="00CA1C7A" w:rsidRDefault="00FA2C2F" w:rsidP="00FA2C2F">
      <w:pPr>
        <w:pStyle w:val="TestimonyA"/>
      </w:pPr>
      <w:r>
        <w:t>A</w:t>
      </w:r>
      <w:r w:rsidR="00F27995">
        <w:tab/>
        <w:t>If FCR-24 is reset to reflect more recent natural gas prices, GIG and GAM have no objection to raising the IFR threshold to $300 million.  However, if the Commission determines that no change should be made to the proposed FCR-24 rate, then I recommend that the $200 million threshold be retained.  This would provide the Commission more flexibility in the event that GPC continues to incur significant over-</w:t>
      </w:r>
      <w:r w:rsidR="00F27995">
        <w:lastRenderedPageBreak/>
        <w:t>collections should natural gas prices remain depressed over the longer term</w:t>
      </w:r>
      <w:r w:rsidR="001B14C9">
        <w:t>, which market analysts believe is likely</w:t>
      </w:r>
      <w:r w:rsidR="00F27995">
        <w:t>.</w:t>
      </w:r>
    </w:p>
    <w:p w:rsidR="00CA1C7A" w:rsidRDefault="00CA1C7A" w:rsidP="00CA1C7A">
      <w:pPr>
        <w:pStyle w:val="Heading2"/>
      </w:pPr>
      <w:bookmarkStart w:id="21" w:name="_Toc434238609"/>
      <w:r>
        <w:t>Seasonal FCR-24 Rates</w:t>
      </w:r>
      <w:bookmarkEnd w:id="21"/>
    </w:p>
    <w:p w:rsidR="00CA1C7A" w:rsidRDefault="00CA1C7A" w:rsidP="00CA1C7A">
      <w:pPr>
        <w:pStyle w:val="TestimonyQ"/>
        <w:spacing w:before="240"/>
      </w:pPr>
      <w:r>
        <w:t>q</w:t>
      </w:r>
      <w:r>
        <w:tab/>
        <w:t>Have you reviewed Georgia Power Company’s proposed seasonal FCR-24 rate design?</w:t>
      </w:r>
    </w:p>
    <w:p w:rsidR="00CA1C7A" w:rsidRDefault="00CA1C7A" w:rsidP="00CA1C7A">
      <w:pPr>
        <w:pStyle w:val="TestimonyA"/>
      </w:pPr>
      <w:r>
        <w:t>A</w:t>
      </w:r>
      <w:r>
        <w:tab/>
        <w:t>Yes.  GPC’s proposed seasonal FCR-24 rate design is summarized in the table below.</w:t>
      </w:r>
    </w:p>
    <w:tbl>
      <w:tblPr>
        <w:tblStyle w:val="GridTable6Colorful-Accent1"/>
        <w:tblW w:w="0" w:type="auto"/>
        <w:jc w:val="center"/>
        <w:tblLook w:val="04A0" w:firstRow="1" w:lastRow="0" w:firstColumn="1" w:lastColumn="0" w:noHBand="0" w:noVBand="1"/>
      </w:tblPr>
      <w:tblGrid>
        <w:gridCol w:w="1940"/>
        <w:gridCol w:w="1112"/>
        <w:gridCol w:w="1112"/>
        <w:gridCol w:w="1229"/>
      </w:tblGrid>
      <w:tr w:rsidR="00CA1C7A" w:rsidRPr="0037143E" w:rsidTr="00CA1889">
        <w:trPr>
          <w:cnfStyle w:val="100000000000" w:firstRow="1" w:lastRow="0" w:firstColumn="0" w:lastColumn="0" w:oddVBand="0" w:evenVBand="0" w:oddHBand="0" w:evenHBand="0" w:firstRowFirstColumn="0" w:firstRowLastColumn="0" w:lastRowFirstColumn="0" w:lastRowLastColumn="0"/>
          <w:trHeight w:val="720"/>
          <w:jc w:val="center"/>
        </w:trPr>
        <w:tc>
          <w:tcPr>
            <w:cnfStyle w:val="001000000000" w:firstRow="0" w:lastRow="0" w:firstColumn="1" w:lastColumn="0" w:oddVBand="0" w:evenVBand="0" w:oddHBand="0" w:evenHBand="0" w:firstRowFirstColumn="0" w:firstRowLastColumn="0" w:lastRowFirstColumn="0" w:lastRowLastColumn="0"/>
            <w:tcW w:w="5393" w:type="dxa"/>
            <w:gridSpan w:val="4"/>
            <w:vAlign w:val="center"/>
          </w:tcPr>
          <w:p w:rsidR="00CA1C7A" w:rsidRDefault="008A6CA0" w:rsidP="00A84D95">
            <w:pPr>
              <w:jc w:val="center"/>
              <w:rPr>
                <w:rFonts w:cs="Arial"/>
                <w:color w:val="auto"/>
              </w:rPr>
            </w:pPr>
            <w:r>
              <w:rPr>
                <w:rFonts w:cs="Arial"/>
                <w:color w:val="auto"/>
              </w:rPr>
              <w:t xml:space="preserve">GPC’s </w:t>
            </w:r>
            <w:r w:rsidR="00CA1C7A">
              <w:rPr>
                <w:rFonts w:cs="Arial"/>
                <w:color w:val="auto"/>
              </w:rPr>
              <w:t>Proposed FCR-24</w:t>
            </w:r>
            <w:r w:rsidR="009C65F6">
              <w:rPr>
                <w:rFonts w:cs="Arial"/>
                <w:color w:val="auto"/>
              </w:rPr>
              <w:t xml:space="preserve"> Rate Change</w:t>
            </w:r>
          </w:p>
          <w:p w:rsidR="00CA1C7A" w:rsidRPr="0037143E" w:rsidRDefault="008A6CA0" w:rsidP="00A84D95">
            <w:pPr>
              <w:jc w:val="center"/>
              <w:rPr>
                <w:rFonts w:cs="Arial"/>
                <w:color w:val="auto"/>
              </w:rPr>
            </w:pPr>
            <w:r>
              <w:rPr>
                <w:rFonts w:cs="Arial"/>
                <w:color w:val="auto"/>
              </w:rPr>
              <w:t>(</w:t>
            </w:r>
            <w:r w:rsidR="00CA1C7A">
              <w:rPr>
                <w:rFonts w:cs="Arial"/>
                <w:color w:val="auto"/>
              </w:rPr>
              <w:t>per kWh)</w:t>
            </w:r>
          </w:p>
        </w:tc>
      </w:tr>
      <w:tr w:rsidR="00CA1C7A" w:rsidRPr="0037143E" w:rsidTr="00CA188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0" w:type="auto"/>
            <w:vAlign w:val="bottom"/>
          </w:tcPr>
          <w:p w:rsidR="00CA1C7A" w:rsidRPr="0037143E" w:rsidRDefault="009C65F6" w:rsidP="00A84D95">
            <w:pPr>
              <w:jc w:val="center"/>
              <w:rPr>
                <w:rFonts w:cs="Arial"/>
                <w:color w:val="auto"/>
              </w:rPr>
            </w:pPr>
            <w:r>
              <w:rPr>
                <w:rFonts w:cs="Arial"/>
                <w:color w:val="auto"/>
              </w:rPr>
              <w:t xml:space="preserve">Billing </w:t>
            </w:r>
            <w:r w:rsidR="00CA1C7A" w:rsidRPr="0037143E">
              <w:rPr>
                <w:rFonts w:cs="Arial"/>
                <w:color w:val="auto"/>
              </w:rPr>
              <w:t>Month</w:t>
            </w:r>
          </w:p>
        </w:tc>
        <w:tc>
          <w:tcPr>
            <w:tcW w:w="1112" w:type="dxa"/>
            <w:vAlign w:val="bottom"/>
          </w:tcPr>
          <w:p w:rsidR="00CA1C7A" w:rsidRPr="0037143E" w:rsidRDefault="00CA1C7A"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FCR-23</w:t>
            </w:r>
          </w:p>
        </w:tc>
        <w:tc>
          <w:tcPr>
            <w:tcW w:w="1112" w:type="dxa"/>
            <w:vAlign w:val="bottom"/>
          </w:tcPr>
          <w:p w:rsidR="00CA1C7A" w:rsidRPr="0037143E" w:rsidRDefault="00CA1C7A"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FCR-24</w:t>
            </w:r>
          </w:p>
        </w:tc>
        <w:tc>
          <w:tcPr>
            <w:tcW w:w="1229" w:type="dxa"/>
            <w:vAlign w:val="bottom"/>
          </w:tcPr>
          <w:p w:rsidR="00CA1C7A" w:rsidRDefault="00CA1C7A"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Percent</w:t>
            </w:r>
          </w:p>
          <w:p w:rsidR="00CA1C7A" w:rsidRPr="0037143E" w:rsidRDefault="009C65F6"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Change</w:t>
            </w:r>
          </w:p>
        </w:tc>
      </w:tr>
      <w:tr w:rsidR="00CA1C7A" w:rsidRPr="0037143E" w:rsidTr="00CA1889">
        <w:trPr>
          <w:trHeight w:val="43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bottom"/>
          </w:tcPr>
          <w:p w:rsidR="00CA1C7A" w:rsidRPr="0037143E" w:rsidRDefault="00CA1C7A" w:rsidP="00A84D95">
            <w:pPr>
              <w:rPr>
                <w:rFonts w:cs="Arial"/>
                <w:color w:val="auto"/>
              </w:rPr>
            </w:pPr>
            <w:r>
              <w:rPr>
                <w:rFonts w:cs="Arial"/>
                <w:color w:val="auto"/>
              </w:rPr>
              <w:t>June-September</w:t>
            </w:r>
          </w:p>
        </w:tc>
        <w:tc>
          <w:tcPr>
            <w:tcW w:w="1112" w:type="dxa"/>
            <w:shd w:val="clear" w:color="auto" w:fill="FFFFFF" w:themeFill="background1"/>
            <w:vAlign w:val="bottom"/>
          </w:tcPr>
          <w:p w:rsidR="00CA1C7A" w:rsidRPr="0037143E" w:rsidRDefault="00CA1C7A" w:rsidP="00A84D95">
            <w:pPr>
              <w:jc w:val="center"/>
              <w:cnfStyle w:val="000000000000" w:firstRow="0" w:lastRow="0" w:firstColumn="0" w:lastColumn="0" w:oddVBand="0" w:evenVBand="0" w:oddHBand="0" w:evenHBand="0" w:firstRowFirstColumn="0" w:firstRowLastColumn="0" w:lastRowFirstColumn="0" w:lastRowLastColumn="0"/>
              <w:rPr>
                <w:rFonts w:cs="Arial"/>
                <w:color w:val="auto"/>
              </w:rPr>
            </w:pPr>
            <w:r>
              <w:rPr>
                <w:rFonts w:cs="Arial"/>
                <w:color w:val="auto"/>
              </w:rPr>
              <w:t>3.9082</w:t>
            </w:r>
            <w:r w:rsidR="008A6CA0">
              <w:rPr>
                <w:rFonts w:cs="Arial"/>
                <w:color w:val="auto"/>
              </w:rPr>
              <w:t>¢</w:t>
            </w:r>
          </w:p>
        </w:tc>
        <w:tc>
          <w:tcPr>
            <w:tcW w:w="1112" w:type="dxa"/>
            <w:shd w:val="clear" w:color="auto" w:fill="FFFFFF" w:themeFill="background1"/>
            <w:vAlign w:val="bottom"/>
          </w:tcPr>
          <w:p w:rsidR="00CA1C7A" w:rsidRPr="0037143E" w:rsidRDefault="00CA1C7A" w:rsidP="00A84D95">
            <w:pPr>
              <w:jc w:val="center"/>
              <w:cnfStyle w:val="000000000000" w:firstRow="0" w:lastRow="0" w:firstColumn="0" w:lastColumn="0" w:oddVBand="0" w:evenVBand="0" w:oddHBand="0" w:evenHBand="0" w:firstRowFirstColumn="0" w:firstRowLastColumn="0" w:lastRowFirstColumn="0" w:lastRowLastColumn="0"/>
              <w:rPr>
                <w:rFonts w:cs="Arial"/>
                <w:color w:val="auto"/>
              </w:rPr>
            </w:pPr>
            <w:r>
              <w:rPr>
                <w:rFonts w:cs="Arial"/>
                <w:color w:val="auto"/>
              </w:rPr>
              <w:t>3.2321</w:t>
            </w:r>
            <w:r w:rsidR="008A6CA0">
              <w:rPr>
                <w:rFonts w:cs="Arial"/>
                <w:color w:val="auto"/>
              </w:rPr>
              <w:t>¢</w:t>
            </w:r>
          </w:p>
        </w:tc>
        <w:tc>
          <w:tcPr>
            <w:tcW w:w="1229" w:type="dxa"/>
            <w:shd w:val="clear" w:color="auto" w:fill="FFFFFF" w:themeFill="background1"/>
            <w:vAlign w:val="bottom"/>
          </w:tcPr>
          <w:p w:rsidR="00CA1C7A" w:rsidRPr="0037143E" w:rsidRDefault="00CA1C7A" w:rsidP="00A84D95">
            <w:pPr>
              <w:jc w:val="center"/>
              <w:cnfStyle w:val="000000000000" w:firstRow="0" w:lastRow="0" w:firstColumn="0" w:lastColumn="0" w:oddVBand="0" w:evenVBand="0" w:oddHBand="0" w:evenHBand="0" w:firstRowFirstColumn="0" w:firstRowLastColumn="0" w:lastRowFirstColumn="0" w:lastRowLastColumn="0"/>
              <w:rPr>
                <w:rFonts w:cs="Arial"/>
                <w:color w:val="auto"/>
              </w:rPr>
            </w:pPr>
            <w:r>
              <w:rPr>
                <w:rFonts w:cs="Arial"/>
                <w:color w:val="auto"/>
              </w:rPr>
              <w:t>-17.3%</w:t>
            </w:r>
          </w:p>
        </w:tc>
      </w:tr>
      <w:tr w:rsidR="00CA1C7A" w:rsidRPr="0037143E" w:rsidTr="00CA188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bottom"/>
          </w:tcPr>
          <w:p w:rsidR="00CA1C7A" w:rsidRPr="0037143E" w:rsidRDefault="00CA1C7A" w:rsidP="00A84D95">
            <w:pPr>
              <w:rPr>
                <w:rFonts w:cs="Arial"/>
                <w:color w:val="auto"/>
              </w:rPr>
            </w:pPr>
            <w:r>
              <w:rPr>
                <w:rFonts w:cs="Arial"/>
                <w:color w:val="auto"/>
              </w:rPr>
              <w:t>October-May</w:t>
            </w:r>
          </w:p>
        </w:tc>
        <w:tc>
          <w:tcPr>
            <w:tcW w:w="1112" w:type="dxa"/>
            <w:shd w:val="clear" w:color="auto" w:fill="FFFFFF" w:themeFill="background1"/>
            <w:vAlign w:val="bottom"/>
          </w:tcPr>
          <w:p w:rsidR="00CA1C7A" w:rsidRPr="0037143E" w:rsidRDefault="00CA1C7A" w:rsidP="00A84D95">
            <w:pPr>
              <w:jc w:val="center"/>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rPr>
              <w:t>3.2385</w:t>
            </w:r>
            <w:r w:rsidR="008A6CA0">
              <w:rPr>
                <w:rFonts w:cs="Arial"/>
                <w:color w:val="auto"/>
              </w:rPr>
              <w:t>¢</w:t>
            </w:r>
          </w:p>
        </w:tc>
        <w:tc>
          <w:tcPr>
            <w:tcW w:w="1112" w:type="dxa"/>
            <w:shd w:val="clear" w:color="auto" w:fill="FFFFFF" w:themeFill="background1"/>
            <w:vAlign w:val="bottom"/>
          </w:tcPr>
          <w:p w:rsidR="00CA1C7A" w:rsidRPr="0037143E" w:rsidRDefault="00CA1C7A" w:rsidP="00A84D95">
            <w:pPr>
              <w:jc w:val="center"/>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rPr>
              <w:t>3.0058</w:t>
            </w:r>
            <w:r w:rsidR="008A6CA0">
              <w:rPr>
                <w:rFonts w:cs="Arial"/>
                <w:color w:val="auto"/>
              </w:rPr>
              <w:t>¢</w:t>
            </w:r>
          </w:p>
        </w:tc>
        <w:tc>
          <w:tcPr>
            <w:tcW w:w="1229" w:type="dxa"/>
            <w:shd w:val="clear" w:color="auto" w:fill="FFFFFF" w:themeFill="background1"/>
            <w:vAlign w:val="bottom"/>
          </w:tcPr>
          <w:p w:rsidR="00CA1C7A" w:rsidRPr="0037143E" w:rsidRDefault="00CA1C7A" w:rsidP="00A84D95">
            <w:pPr>
              <w:jc w:val="center"/>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rPr>
              <w:t>-7.2%</w:t>
            </w:r>
          </w:p>
        </w:tc>
      </w:tr>
      <w:tr w:rsidR="00CA1C7A" w:rsidRPr="00C96E40" w:rsidTr="00A600CF">
        <w:trPr>
          <w:trHeight w:val="864"/>
          <w:jc w:val="center"/>
        </w:trPr>
        <w:tc>
          <w:tcPr>
            <w:cnfStyle w:val="001000000000" w:firstRow="0" w:lastRow="0" w:firstColumn="1" w:lastColumn="0" w:oddVBand="0" w:evenVBand="0" w:oddHBand="0" w:evenHBand="0" w:firstRowFirstColumn="0" w:firstRowLastColumn="0" w:lastRowFirstColumn="0" w:lastRowLastColumn="0"/>
            <w:tcW w:w="5393" w:type="dxa"/>
            <w:gridSpan w:val="4"/>
            <w:shd w:val="clear" w:color="auto" w:fill="FFFFFF" w:themeFill="background1"/>
            <w:vAlign w:val="bottom"/>
          </w:tcPr>
          <w:p w:rsidR="00CA1889" w:rsidRDefault="00CA1C7A" w:rsidP="00A84D95">
            <w:pPr>
              <w:rPr>
                <w:rFonts w:cs="Arial"/>
                <w:b w:val="0"/>
                <w:color w:val="auto"/>
              </w:rPr>
            </w:pPr>
            <w:r>
              <w:rPr>
                <w:rFonts w:cs="Arial"/>
                <w:color w:val="auto"/>
              </w:rPr>
              <w:t>Source</w:t>
            </w:r>
            <w:r w:rsidR="00CA1889">
              <w:rPr>
                <w:rFonts w:cs="Arial"/>
                <w:color w:val="auto"/>
              </w:rPr>
              <w:t>s</w:t>
            </w:r>
            <w:r>
              <w:rPr>
                <w:rFonts w:cs="Arial"/>
                <w:color w:val="auto"/>
              </w:rPr>
              <w:t xml:space="preserve">: </w:t>
            </w:r>
            <w:r w:rsidR="00CA1889">
              <w:rPr>
                <w:rFonts w:cs="Arial"/>
                <w:color w:val="auto"/>
              </w:rPr>
              <w:t xml:space="preserve"> </w:t>
            </w:r>
            <w:r w:rsidRPr="00DC3712">
              <w:rPr>
                <w:rFonts w:cs="Arial"/>
                <w:b w:val="0"/>
                <w:color w:val="auto"/>
              </w:rPr>
              <w:t>DPP Exhibit 2</w:t>
            </w:r>
            <w:r w:rsidR="00CA1889">
              <w:rPr>
                <w:rFonts w:cs="Arial"/>
                <w:b w:val="0"/>
                <w:color w:val="auto"/>
              </w:rPr>
              <w:t>D and 2E</w:t>
            </w:r>
          </w:p>
          <w:p w:rsidR="00CA1C7A" w:rsidRPr="00CA1889" w:rsidRDefault="00CA1889" w:rsidP="00A84D95">
            <w:pPr>
              <w:rPr>
                <w:rFonts w:cs="Arial"/>
                <w:b w:val="0"/>
                <w:color w:val="auto"/>
              </w:rPr>
            </w:pPr>
            <w:r>
              <w:rPr>
                <w:rFonts w:cs="Arial"/>
                <w:color w:val="auto"/>
              </w:rPr>
              <w:t xml:space="preserve">                 </w:t>
            </w:r>
            <w:r w:rsidRPr="00CA1889">
              <w:rPr>
                <w:rFonts w:cs="Arial"/>
                <w:b w:val="0"/>
                <w:color w:val="auto"/>
              </w:rPr>
              <w:t>Docket No. 35277, Exhibit ELS-2 pgs. 4-5.</w:t>
            </w:r>
          </w:p>
        </w:tc>
      </w:tr>
    </w:tbl>
    <w:p w:rsidR="00CA1C7A" w:rsidRPr="0095567F" w:rsidRDefault="00CA1C7A" w:rsidP="00CA1C7A">
      <w:pPr>
        <w:pStyle w:val="TestimonyA"/>
        <w:spacing w:before="240"/>
      </w:pPr>
      <w:r>
        <w:tab/>
        <w:t xml:space="preserve">As the table demonstrates, the summer rate, which is </w:t>
      </w:r>
      <w:r w:rsidRPr="00CA1C7A">
        <w:rPr>
          <w:i/>
        </w:rPr>
        <w:t xml:space="preserve">billed </w:t>
      </w:r>
      <w:r w:rsidR="0095567F">
        <w:t xml:space="preserve">in the months June through September, would decrease by more than twice the non-summer rate.  The non-summer rate is </w:t>
      </w:r>
      <w:r w:rsidR="0095567F" w:rsidRPr="00A600CF">
        <w:rPr>
          <w:i/>
        </w:rPr>
        <w:t>billed</w:t>
      </w:r>
      <w:r w:rsidR="0095567F">
        <w:t xml:space="preserve"> in the months October through May.</w:t>
      </w:r>
      <w:r w:rsidR="004E0D6C">
        <w:t xml:space="preserve">  Thus, GPC’s proposed FCR-24 rate design would significantly weaken the summer price signals.  </w:t>
      </w:r>
    </w:p>
    <w:p w:rsidR="005B5B56" w:rsidRDefault="005B5B56" w:rsidP="00CA1C7A">
      <w:pPr>
        <w:pStyle w:val="TestimonyQ"/>
      </w:pPr>
      <w:r>
        <w:t>q</w:t>
      </w:r>
      <w:r>
        <w:tab/>
        <w:t xml:space="preserve">why </w:t>
      </w:r>
      <w:r w:rsidR="008F44D0">
        <w:t>are the fcr rates higher in the summer months?</w:t>
      </w:r>
    </w:p>
    <w:p w:rsidR="005B5B56" w:rsidRPr="008F44D0" w:rsidRDefault="008F44D0" w:rsidP="008F44D0">
      <w:pPr>
        <w:pStyle w:val="TestimonyA"/>
      </w:pPr>
      <w:r>
        <w:t>A</w:t>
      </w:r>
      <w:r>
        <w:tab/>
        <w:t xml:space="preserve">GPC incurs higher fuel costs in the summer months.  Thus, the higher summer-month FCR rates recognize these higher costs and send proper price signals.  </w:t>
      </w:r>
    </w:p>
    <w:p w:rsidR="00CA1C7A" w:rsidRDefault="00CA1C7A" w:rsidP="00CA1C7A">
      <w:pPr>
        <w:pStyle w:val="TestimonyQ"/>
      </w:pPr>
      <w:r>
        <w:t>q</w:t>
      </w:r>
      <w:r w:rsidR="0095567F">
        <w:tab/>
        <w:t>How did Georgia Power Company derive the seasonal FCR-24 rates?</w:t>
      </w:r>
    </w:p>
    <w:p w:rsidR="00CA1C7A" w:rsidRDefault="00CA1C7A" w:rsidP="00CA1C7A">
      <w:pPr>
        <w:pStyle w:val="TestimonyA"/>
      </w:pPr>
      <w:r>
        <w:t>A</w:t>
      </w:r>
      <w:r w:rsidR="0095567F">
        <w:tab/>
        <w:t xml:space="preserve">The summer rates were derived using the projected FCR-24 recoverable fuel costs to be incurred in </w:t>
      </w:r>
      <w:r w:rsidR="0095567F" w:rsidRPr="0095567F">
        <w:rPr>
          <w:i/>
        </w:rPr>
        <w:t>calendar</w:t>
      </w:r>
      <w:r w:rsidR="0095567F">
        <w:t xml:space="preserve"> months June through September.  The non-summer rates </w:t>
      </w:r>
      <w:r w:rsidR="0095567F">
        <w:lastRenderedPageBreak/>
        <w:t xml:space="preserve">were based on projected recoverable fuel costs in </w:t>
      </w:r>
      <w:r w:rsidR="0095567F" w:rsidRPr="0095567F">
        <w:rPr>
          <w:i/>
        </w:rPr>
        <w:t>calendar</w:t>
      </w:r>
      <w:r w:rsidR="0095567F">
        <w:t xml:space="preserve"> months October through May.</w:t>
      </w:r>
    </w:p>
    <w:p w:rsidR="00CA1C7A" w:rsidRDefault="00CA1C7A" w:rsidP="00A600CF">
      <w:pPr>
        <w:pStyle w:val="TestimonyQ"/>
        <w:keepNext/>
      </w:pPr>
      <w:r>
        <w:t>q</w:t>
      </w:r>
      <w:r w:rsidR="0095567F">
        <w:tab/>
        <w:t>Does Georgia Power Company’s proposed FCR-24 rate design raise any concerns?</w:t>
      </w:r>
    </w:p>
    <w:p w:rsidR="00CA1C7A" w:rsidRDefault="00CA1C7A" w:rsidP="00CA1C7A">
      <w:pPr>
        <w:pStyle w:val="TestimonyA"/>
      </w:pPr>
      <w:r>
        <w:t>A</w:t>
      </w:r>
      <w:r w:rsidR="0095567F">
        <w:tab/>
        <w:t xml:space="preserve">Yes.  GPC experiences its highest fuel costs in </w:t>
      </w:r>
      <w:r w:rsidR="0095567F" w:rsidRPr="0095567F">
        <w:rPr>
          <w:i/>
        </w:rPr>
        <w:t>calendar</w:t>
      </w:r>
      <w:r w:rsidR="000150C7">
        <w:t xml:space="preserve"> months May through </w:t>
      </w:r>
      <w:r w:rsidR="001B14C9">
        <w:t>August</w:t>
      </w:r>
      <w:r w:rsidR="000150C7">
        <w:t xml:space="preserve">.  </w:t>
      </w:r>
      <w:r w:rsidR="0095567F">
        <w:t xml:space="preserve">This is shown in </w:t>
      </w:r>
      <w:r w:rsidR="0095567F" w:rsidRPr="0096326B">
        <w:rPr>
          <w:b/>
        </w:rPr>
        <w:t>Exhibit JP-3</w:t>
      </w:r>
      <w:r w:rsidR="0095567F">
        <w:t xml:space="preserve">, which shows the monthly recoverable FCR-24 costs stated on a per-kilowatt hour (kWh) basis.  As can be seen, the per unit fuel costs in May are just as high as in the </w:t>
      </w:r>
      <w:r w:rsidR="000150C7">
        <w:t xml:space="preserve">summer </w:t>
      </w:r>
      <w:r w:rsidR="0095567F">
        <w:t xml:space="preserve">months June, July and August.  In contrast, the per unit fuel cost in September is well below the corresponding fuel costs in the </w:t>
      </w:r>
      <w:r w:rsidR="000150C7">
        <w:t xml:space="preserve">summer </w:t>
      </w:r>
      <w:r w:rsidR="0095567F">
        <w:t>months June through August</w:t>
      </w:r>
      <w:r w:rsidR="000150C7">
        <w:t>, and it more closely resembles a non-summer month</w:t>
      </w:r>
      <w:r w:rsidR="0095567F">
        <w:t xml:space="preserve">.  Yet, </w:t>
      </w:r>
      <w:r w:rsidR="00A600CF">
        <w:t xml:space="preserve">May is treated as a non-summer month, while </w:t>
      </w:r>
      <w:r w:rsidR="0095567F">
        <w:t>September is treated as a summer month in determining the seasonal FCR-24 rate design.</w:t>
      </w:r>
      <w:r w:rsidR="00A600CF">
        <w:t xml:space="preserve"> </w:t>
      </w:r>
    </w:p>
    <w:p w:rsidR="0095567F" w:rsidRDefault="0095567F" w:rsidP="00CA1C7A">
      <w:pPr>
        <w:pStyle w:val="TestimonyA"/>
      </w:pPr>
      <w:r>
        <w:tab/>
      </w:r>
      <w:r>
        <w:tab/>
        <w:t xml:space="preserve">The result of GPC’s proposal is to significantly understate the </w:t>
      </w:r>
      <w:r w:rsidR="00894BEC">
        <w:t xml:space="preserve">summer </w:t>
      </w:r>
      <w:r>
        <w:t>FCR rate</w:t>
      </w:r>
      <w:r w:rsidR="00894BEC">
        <w:t xml:space="preserve">. </w:t>
      </w:r>
      <w:r>
        <w:t xml:space="preserve"> </w:t>
      </w:r>
      <w:r w:rsidR="00894BEC">
        <w:t>Thus</w:t>
      </w:r>
      <w:r>
        <w:t>, GPC’s proposed seasonal FCR-24 rate design would send the wrong pricing signals.</w:t>
      </w:r>
    </w:p>
    <w:p w:rsidR="00CA1C7A" w:rsidRDefault="00CA1C7A" w:rsidP="00CA1C7A">
      <w:pPr>
        <w:pStyle w:val="TestimonyQ"/>
      </w:pPr>
      <w:r>
        <w:t>q</w:t>
      </w:r>
      <w:r w:rsidR="0095567F">
        <w:tab/>
        <w:t xml:space="preserve">How can </w:t>
      </w:r>
      <w:r w:rsidR="004E0D6C">
        <w:t>proper</w:t>
      </w:r>
      <w:r w:rsidR="0095567F">
        <w:t xml:space="preserve"> pricing signals be </w:t>
      </w:r>
      <w:r w:rsidR="004E0D6C">
        <w:t>restored</w:t>
      </w:r>
      <w:r w:rsidR="0095567F">
        <w:t>?</w:t>
      </w:r>
    </w:p>
    <w:p w:rsidR="00CA1C7A" w:rsidRDefault="00CA1C7A" w:rsidP="00CA1C7A">
      <w:pPr>
        <w:pStyle w:val="TestimonyA"/>
      </w:pPr>
      <w:r>
        <w:t>A</w:t>
      </w:r>
      <w:r w:rsidR="0095567F">
        <w:tab/>
        <w:t xml:space="preserve">To send the correct pricing signals, the fuel costs projected to be incurred in the </w:t>
      </w:r>
      <w:r w:rsidR="0095567F" w:rsidRPr="00894BEC">
        <w:rPr>
          <w:i/>
        </w:rPr>
        <w:t>calendar</w:t>
      </w:r>
      <w:r w:rsidR="0095567F">
        <w:t xml:space="preserve"> month of May should be used to design the summer FCR rate which is </w:t>
      </w:r>
      <w:r w:rsidR="0095567F" w:rsidRPr="00894BEC">
        <w:rPr>
          <w:i/>
        </w:rPr>
        <w:t>billed</w:t>
      </w:r>
      <w:r w:rsidR="0095567F">
        <w:t xml:space="preserve"> in the months of June through September.  Similarly, the fuel costs projected to be incurred in the </w:t>
      </w:r>
      <w:r w:rsidR="0095567F" w:rsidRPr="00894BEC">
        <w:rPr>
          <w:i/>
        </w:rPr>
        <w:t>calendar</w:t>
      </w:r>
      <w:r w:rsidR="0095567F">
        <w:t xml:space="preserve"> month of September should be used to design the non-summer FCR rate which is </w:t>
      </w:r>
      <w:r w:rsidR="0095567F" w:rsidRPr="00894BEC">
        <w:rPr>
          <w:i/>
        </w:rPr>
        <w:t>billed</w:t>
      </w:r>
      <w:r w:rsidR="0095567F">
        <w:t xml:space="preserve"> in the months October through May.</w:t>
      </w:r>
    </w:p>
    <w:p w:rsidR="00CA1C7A" w:rsidRDefault="00CA1C7A" w:rsidP="00CA1C7A">
      <w:pPr>
        <w:pStyle w:val="TestimonyQ"/>
      </w:pPr>
      <w:r>
        <w:t>q</w:t>
      </w:r>
      <w:r w:rsidR="0095567F">
        <w:tab/>
        <w:t>Why would this correction be more APPROPRIATE?</w:t>
      </w:r>
    </w:p>
    <w:p w:rsidR="00CA1C7A" w:rsidRDefault="00CA1C7A" w:rsidP="00CA1C7A">
      <w:pPr>
        <w:pStyle w:val="TestimonyA"/>
      </w:pPr>
      <w:r>
        <w:t>A</w:t>
      </w:r>
      <w:r w:rsidR="0095567F">
        <w:tab/>
        <w:t xml:space="preserve">Besides sending more accurate </w:t>
      </w:r>
      <w:r w:rsidR="008F44D0">
        <w:t xml:space="preserve">and proper </w:t>
      </w:r>
      <w:r w:rsidR="0095567F">
        <w:t>price signals, redefining the summer and non-summer costing months is also c</w:t>
      </w:r>
      <w:r w:rsidR="00894BEC">
        <w:t xml:space="preserve">onsistent with cycle billing.  </w:t>
      </w:r>
      <w:r w:rsidR="0095567F">
        <w:t xml:space="preserve">That is, there is a </w:t>
      </w:r>
      <w:r w:rsidR="0095567F">
        <w:lastRenderedPageBreak/>
        <w:t xml:space="preserve">lag between </w:t>
      </w:r>
      <w:r w:rsidR="00B70CD9">
        <w:t xml:space="preserve">calendar and billing months.  </w:t>
      </w:r>
      <w:r w:rsidR="0095567F">
        <w:t>For example, the kWh consumed in the high fuel cost</w:t>
      </w:r>
      <w:r w:rsidR="00B70CD9">
        <w:t xml:space="preserve"> month</w:t>
      </w:r>
      <w:r w:rsidR="0095567F">
        <w:t xml:space="preserve"> of May would be billed </w:t>
      </w:r>
      <w:r w:rsidR="00894BEC">
        <w:t xml:space="preserve">primarily </w:t>
      </w:r>
      <w:r w:rsidR="0095567F">
        <w:t xml:space="preserve">in June.  Accordingly, it would be appropriate to include fuel costs incurred during the </w:t>
      </w:r>
      <w:r w:rsidR="0095567F" w:rsidRPr="00894BEC">
        <w:rPr>
          <w:i/>
        </w:rPr>
        <w:t>calendar</w:t>
      </w:r>
      <w:r w:rsidR="0095567F">
        <w:t xml:space="preserve"> month of May in determining the summer FCR-24 rate</w:t>
      </w:r>
      <w:r w:rsidR="00B70CD9">
        <w:t>,</w:t>
      </w:r>
      <w:r w:rsidR="0095567F">
        <w:t xml:space="preserve"> </w:t>
      </w:r>
      <w:r w:rsidR="008A6CA0">
        <w:t xml:space="preserve">which </w:t>
      </w:r>
      <w:r w:rsidR="00B70CD9">
        <w:t xml:space="preserve">is </w:t>
      </w:r>
      <w:r w:rsidR="0095567F" w:rsidRPr="00894BEC">
        <w:rPr>
          <w:i/>
        </w:rPr>
        <w:t>billed</w:t>
      </w:r>
      <w:r w:rsidR="0095567F">
        <w:t xml:space="preserve"> in the month of June.</w:t>
      </w:r>
    </w:p>
    <w:p w:rsidR="00CA1C7A" w:rsidRDefault="00CA1C7A" w:rsidP="00CA1C7A">
      <w:pPr>
        <w:pStyle w:val="TestimonyQ"/>
      </w:pPr>
      <w:r>
        <w:t>q</w:t>
      </w:r>
      <w:r w:rsidR="0095567F">
        <w:tab/>
        <w:t>What do you recommend?</w:t>
      </w:r>
    </w:p>
    <w:p w:rsidR="00CA1C7A" w:rsidRDefault="00CA1C7A" w:rsidP="00CA1C7A">
      <w:pPr>
        <w:pStyle w:val="TestimonyA"/>
      </w:pPr>
      <w:r>
        <w:t>A</w:t>
      </w:r>
      <w:r w:rsidR="0095567F">
        <w:tab/>
        <w:t xml:space="preserve">The summer FCR-24 rate, which is </w:t>
      </w:r>
      <w:r w:rsidR="0095567F" w:rsidRPr="00894BEC">
        <w:rPr>
          <w:i/>
        </w:rPr>
        <w:t>billed</w:t>
      </w:r>
      <w:r w:rsidR="0095567F">
        <w:t xml:space="preserve"> in the months June through September, should be based on the </w:t>
      </w:r>
      <w:r w:rsidR="007977B8">
        <w:t xml:space="preserve">projected fuel costs in </w:t>
      </w:r>
      <w:r w:rsidR="007977B8" w:rsidRPr="00894BEC">
        <w:rPr>
          <w:i/>
        </w:rPr>
        <w:t>calendar</w:t>
      </w:r>
      <w:r w:rsidR="007977B8">
        <w:t xml:space="preserve"> months </w:t>
      </w:r>
      <w:r w:rsidR="0095567F">
        <w:t xml:space="preserve">May through August.  Similarly, the non-summer FCR-24 rate (which is </w:t>
      </w:r>
      <w:r w:rsidR="0095567F" w:rsidRPr="00894BEC">
        <w:rPr>
          <w:i/>
        </w:rPr>
        <w:t>billed</w:t>
      </w:r>
      <w:r w:rsidR="0095567F">
        <w:t xml:space="preserve"> in the months October through May) should be based on </w:t>
      </w:r>
      <w:r w:rsidR="007977B8">
        <w:t xml:space="preserve">the projected fuel costs in </w:t>
      </w:r>
      <w:r w:rsidR="0095567F" w:rsidRPr="00894BEC">
        <w:rPr>
          <w:i/>
        </w:rPr>
        <w:t>calendar</w:t>
      </w:r>
      <w:r w:rsidR="0095567F">
        <w:t xml:space="preserve"> month</w:t>
      </w:r>
      <w:r w:rsidR="007977B8">
        <w:t>s</w:t>
      </w:r>
      <w:r w:rsidR="0095567F">
        <w:t xml:space="preserve"> September </w:t>
      </w:r>
      <w:r w:rsidR="00894BEC">
        <w:t>through</w:t>
      </w:r>
      <w:r w:rsidR="0095567F">
        <w:t xml:space="preserve"> April.</w:t>
      </w:r>
    </w:p>
    <w:p w:rsidR="00CA1C7A" w:rsidRDefault="00CA1C7A" w:rsidP="00CA1C7A">
      <w:pPr>
        <w:pStyle w:val="TestimonyQ"/>
      </w:pPr>
      <w:r>
        <w:t>q</w:t>
      </w:r>
      <w:r w:rsidR="00331288">
        <w:tab/>
        <w:t>Have you developed revised fcr-24 rates incorporating your recommendation?</w:t>
      </w:r>
    </w:p>
    <w:p w:rsidR="0025753F" w:rsidRDefault="00CA1C7A" w:rsidP="00CA1C7A">
      <w:pPr>
        <w:pStyle w:val="TestimonyA"/>
      </w:pPr>
      <w:r>
        <w:t>A</w:t>
      </w:r>
      <w:r w:rsidR="00331288">
        <w:tab/>
        <w:t xml:space="preserve">Yes.  The revised FCR-24 rates are shown in </w:t>
      </w:r>
      <w:r w:rsidR="00331288" w:rsidRPr="0009785E">
        <w:rPr>
          <w:b/>
        </w:rPr>
        <w:t>Exhibit JP-4</w:t>
      </w:r>
      <w:r w:rsidR="00331288">
        <w:t xml:space="preserve"> and are summarized in the table below.</w:t>
      </w:r>
    </w:p>
    <w:tbl>
      <w:tblPr>
        <w:tblStyle w:val="GridTable6Colorful-Accent1"/>
        <w:tblW w:w="0" w:type="auto"/>
        <w:jc w:val="center"/>
        <w:tblLook w:val="04A0" w:firstRow="1" w:lastRow="0" w:firstColumn="1" w:lastColumn="0" w:noHBand="0" w:noVBand="1"/>
      </w:tblPr>
      <w:tblGrid>
        <w:gridCol w:w="1940"/>
        <w:gridCol w:w="1112"/>
        <w:gridCol w:w="1112"/>
        <w:gridCol w:w="1113"/>
      </w:tblGrid>
      <w:tr w:rsidR="0025753F" w:rsidRPr="0037143E" w:rsidTr="008A6CA0">
        <w:trPr>
          <w:cnfStyle w:val="100000000000" w:firstRow="1" w:lastRow="0" w:firstColumn="0" w:lastColumn="0" w:oddVBand="0" w:evenVBand="0" w:oddHBand="0" w:evenHBand="0" w:firstRowFirstColumn="0" w:firstRowLastColumn="0" w:lastRowFirstColumn="0" w:lastRowLastColumn="0"/>
          <w:trHeight w:val="864"/>
          <w:jc w:val="center"/>
        </w:trPr>
        <w:tc>
          <w:tcPr>
            <w:cnfStyle w:val="001000000000" w:firstRow="0" w:lastRow="0" w:firstColumn="1" w:lastColumn="0" w:oddVBand="0" w:evenVBand="0" w:oddHBand="0" w:evenHBand="0" w:firstRowFirstColumn="0" w:firstRowLastColumn="0" w:lastRowFirstColumn="0" w:lastRowLastColumn="0"/>
            <w:tcW w:w="5277" w:type="dxa"/>
            <w:gridSpan w:val="4"/>
            <w:vAlign w:val="center"/>
          </w:tcPr>
          <w:p w:rsidR="0025753F" w:rsidRDefault="0025753F" w:rsidP="00A84D95">
            <w:pPr>
              <w:jc w:val="center"/>
              <w:rPr>
                <w:rFonts w:cs="Arial"/>
                <w:color w:val="auto"/>
              </w:rPr>
            </w:pPr>
            <w:r>
              <w:rPr>
                <w:rFonts w:cs="Arial"/>
                <w:color w:val="auto"/>
              </w:rPr>
              <w:t>Revised FCR-24</w:t>
            </w:r>
            <w:r w:rsidR="009C65F6">
              <w:rPr>
                <w:rFonts w:cs="Arial"/>
                <w:color w:val="auto"/>
              </w:rPr>
              <w:t xml:space="preserve"> Rate Design</w:t>
            </w:r>
          </w:p>
          <w:p w:rsidR="008A6CA0" w:rsidRDefault="008A6CA0" w:rsidP="00A84D95">
            <w:pPr>
              <w:jc w:val="center"/>
              <w:rPr>
                <w:rFonts w:cs="Arial"/>
                <w:color w:val="auto"/>
              </w:rPr>
            </w:pPr>
            <w:r>
              <w:rPr>
                <w:rFonts w:cs="Arial"/>
                <w:color w:val="auto"/>
              </w:rPr>
              <w:t>Based On GPC’s Proposed Rate Change</w:t>
            </w:r>
          </w:p>
          <w:p w:rsidR="0025753F" w:rsidRPr="0037143E" w:rsidRDefault="0025753F" w:rsidP="008A6CA0">
            <w:pPr>
              <w:jc w:val="center"/>
              <w:rPr>
                <w:rFonts w:cs="Arial"/>
                <w:color w:val="auto"/>
              </w:rPr>
            </w:pPr>
            <w:r>
              <w:rPr>
                <w:rFonts w:cs="Arial"/>
                <w:color w:val="auto"/>
              </w:rPr>
              <w:t>(per kWh)</w:t>
            </w:r>
          </w:p>
        </w:tc>
      </w:tr>
      <w:tr w:rsidR="0025753F" w:rsidRPr="0037143E" w:rsidTr="00A84D95">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0" w:type="auto"/>
            <w:vAlign w:val="bottom"/>
          </w:tcPr>
          <w:p w:rsidR="0025753F" w:rsidRPr="0037143E" w:rsidRDefault="009C65F6" w:rsidP="00A84D95">
            <w:pPr>
              <w:jc w:val="center"/>
              <w:rPr>
                <w:rFonts w:cs="Arial"/>
                <w:color w:val="auto"/>
              </w:rPr>
            </w:pPr>
            <w:r>
              <w:rPr>
                <w:rFonts w:cs="Arial"/>
                <w:color w:val="auto"/>
              </w:rPr>
              <w:t xml:space="preserve">Billing </w:t>
            </w:r>
            <w:r w:rsidR="0025753F" w:rsidRPr="0037143E">
              <w:rPr>
                <w:rFonts w:cs="Arial"/>
                <w:color w:val="auto"/>
              </w:rPr>
              <w:t>Month</w:t>
            </w:r>
          </w:p>
        </w:tc>
        <w:tc>
          <w:tcPr>
            <w:tcW w:w="1112" w:type="dxa"/>
            <w:vAlign w:val="bottom"/>
          </w:tcPr>
          <w:p w:rsidR="0025753F" w:rsidRPr="0037143E"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FCR-23</w:t>
            </w:r>
          </w:p>
        </w:tc>
        <w:tc>
          <w:tcPr>
            <w:tcW w:w="1112" w:type="dxa"/>
            <w:vAlign w:val="bottom"/>
          </w:tcPr>
          <w:p w:rsidR="0025753F" w:rsidRPr="0037143E"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FCR-24</w:t>
            </w:r>
          </w:p>
        </w:tc>
        <w:tc>
          <w:tcPr>
            <w:tcW w:w="1113" w:type="dxa"/>
            <w:vAlign w:val="bottom"/>
          </w:tcPr>
          <w:p w:rsidR="0025753F"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Percent</w:t>
            </w:r>
          </w:p>
          <w:p w:rsidR="0025753F" w:rsidRPr="0037143E"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b/>
                <w:color w:val="auto"/>
              </w:rPr>
            </w:pPr>
            <w:r>
              <w:rPr>
                <w:rFonts w:cs="Arial"/>
                <w:b/>
                <w:color w:val="auto"/>
              </w:rPr>
              <w:t>Change</w:t>
            </w:r>
          </w:p>
        </w:tc>
      </w:tr>
      <w:tr w:rsidR="0025753F" w:rsidRPr="0037143E" w:rsidTr="00A84D95">
        <w:trPr>
          <w:trHeight w:val="43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bottom"/>
          </w:tcPr>
          <w:p w:rsidR="0025753F" w:rsidRPr="0037143E" w:rsidRDefault="0025753F" w:rsidP="00A84D95">
            <w:pPr>
              <w:rPr>
                <w:rFonts w:cs="Arial"/>
                <w:color w:val="auto"/>
              </w:rPr>
            </w:pPr>
            <w:r>
              <w:rPr>
                <w:rFonts w:cs="Arial"/>
                <w:color w:val="auto"/>
              </w:rPr>
              <w:t>June-September</w:t>
            </w:r>
          </w:p>
        </w:tc>
        <w:tc>
          <w:tcPr>
            <w:tcW w:w="1112" w:type="dxa"/>
            <w:shd w:val="clear" w:color="auto" w:fill="FFFFFF" w:themeFill="background1"/>
            <w:vAlign w:val="bottom"/>
          </w:tcPr>
          <w:p w:rsidR="0025753F" w:rsidRPr="0037143E" w:rsidRDefault="0025753F" w:rsidP="00A84D95">
            <w:pPr>
              <w:jc w:val="center"/>
              <w:cnfStyle w:val="000000000000" w:firstRow="0" w:lastRow="0" w:firstColumn="0" w:lastColumn="0" w:oddVBand="0" w:evenVBand="0" w:oddHBand="0" w:evenHBand="0" w:firstRowFirstColumn="0" w:firstRowLastColumn="0" w:lastRowFirstColumn="0" w:lastRowLastColumn="0"/>
              <w:rPr>
                <w:rFonts w:cs="Arial"/>
                <w:color w:val="auto"/>
              </w:rPr>
            </w:pPr>
            <w:r>
              <w:rPr>
                <w:rFonts w:cs="Arial"/>
                <w:color w:val="auto"/>
              </w:rPr>
              <w:t>3.9082</w:t>
            </w:r>
            <w:r w:rsidR="008A6CA0">
              <w:rPr>
                <w:rFonts w:cs="Arial"/>
                <w:color w:val="auto"/>
              </w:rPr>
              <w:t>¢</w:t>
            </w:r>
          </w:p>
        </w:tc>
        <w:tc>
          <w:tcPr>
            <w:tcW w:w="1112" w:type="dxa"/>
            <w:shd w:val="clear" w:color="auto" w:fill="FFFFFF" w:themeFill="background1"/>
            <w:vAlign w:val="bottom"/>
          </w:tcPr>
          <w:p w:rsidR="0025753F" w:rsidRPr="0037143E" w:rsidRDefault="0025753F" w:rsidP="00A84D95">
            <w:pPr>
              <w:jc w:val="center"/>
              <w:cnfStyle w:val="000000000000" w:firstRow="0" w:lastRow="0" w:firstColumn="0" w:lastColumn="0" w:oddVBand="0" w:evenVBand="0" w:oddHBand="0" w:evenHBand="0" w:firstRowFirstColumn="0" w:firstRowLastColumn="0" w:lastRowFirstColumn="0" w:lastRowLastColumn="0"/>
              <w:rPr>
                <w:rFonts w:cs="Arial"/>
                <w:color w:val="auto"/>
              </w:rPr>
            </w:pPr>
            <w:r>
              <w:rPr>
                <w:rFonts w:cs="Arial"/>
                <w:color w:val="auto"/>
              </w:rPr>
              <w:t>3.4116</w:t>
            </w:r>
            <w:r w:rsidR="008A6CA0">
              <w:rPr>
                <w:rFonts w:cs="Arial"/>
                <w:color w:val="auto"/>
              </w:rPr>
              <w:t>¢</w:t>
            </w:r>
          </w:p>
        </w:tc>
        <w:tc>
          <w:tcPr>
            <w:tcW w:w="1113" w:type="dxa"/>
            <w:shd w:val="clear" w:color="auto" w:fill="FFFFFF" w:themeFill="background1"/>
            <w:vAlign w:val="bottom"/>
          </w:tcPr>
          <w:p w:rsidR="0025753F" w:rsidRPr="0037143E" w:rsidRDefault="0025753F" w:rsidP="00A84D95">
            <w:pPr>
              <w:jc w:val="center"/>
              <w:cnfStyle w:val="000000000000" w:firstRow="0" w:lastRow="0" w:firstColumn="0" w:lastColumn="0" w:oddVBand="0" w:evenVBand="0" w:oddHBand="0" w:evenHBand="0" w:firstRowFirstColumn="0" w:firstRowLastColumn="0" w:lastRowFirstColumn="0" w:lastRowLastColumn="0"/>
              <w:rPr>
                <w:rFonts w:cs="Arial"/>
                <w:color w:val="auto"/>
              </w:rPr>
            </w:pPr>
            <w:r>
              <w:rPr>
                <w:rFonts w:cs="Arial"/>
                <w:color w:val="auto"/>
              </w:rPr>
              <w:t>-12.7%</w:t>
            </w:r>
          </w:p>
        </w:tc>
      </w:tr>
      <w:tr w:rsidR="0025753F" w:rsidRPr="0037143E" w:rsidTr="00A84D95">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bottom"/>
          </w:tcPr>
          <w:p w:rsidR="0025753F" w:rsidRPr="0037143E" w:rsidRDefault="0025753F" w:rsidP="00A84D95">
            <w:pPr>
              <w:rPr>
                <w:rFonts w:cs="Arial"/>
                <w:color w:val="auto"/>
              </w:rPr>
            </w:pPr>
            <w:r>
              <w:rPr>
                <w:rFonts w:cs="Arial"/>
                <w:color w:val="auto"/>
              </w:rPr>
              <w:t>October-May</w:t>
            </w:r>
          </w:p>
        </w:tc>
        <w:tc>
          <w:tcPr>
            <w:tcW w:w="1112" w:type="dxa"/>
            <w:shd w:val="clear" w:color="auto" w:fill="FFFFFF" w:themeFill="background1"/>
            <w:vAlign w:val="bottom"/>
          </w:tcPr>
          <w:p w:rsidR="0025753F" w:rsidRPr="0037143E"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rPr>
              <w:t>3.2385</w:t>
            </w:r>
            <w:r w:rsidR="008A6CA0">
              <w:rPr>
                <w:rFonts w:cs="Arial"/>
                <w:color w:val="auto"/>
              </w:rPr>
              <w:t>¢</w:t>
            </w:r>
          </w:p>
        </w:tc>
        <w:tc>
          <w:tcPr>
            <w:tcW w:w="1112" w:type="dxa"/>
            <w:shd w:val="clear" w:color="auto" w:fill="FFFFFF" w:themeFill="background1"/>
            <w:vAlign w:val="bottom"/>
          </w:tcPr>
          <w:p w:rsidR="0025753F" w:rsidRPr="0037143E"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rPr>
              <w:t>2.9132</w:t>
            </w:r>
            <w:r w:rsidR="008A6CA0">
              <w:rPr>
                <w:rFonts w:cs="Arial"/>
                <w:color w:val="auto"/>
              </w:rPr>
              <w:t>¢</w:t>
            </w:r>
          </w:p>
        </w:tc>
        <w:tc>
          <w:tcPr>
            <w:tcW w:w="1113" w:type="dxa"/>
            <w:shd w:val="clear" w:color="auto" w:fill="FFFFFF" w:themeFill="background1"/>
            <w:vAlign w:val="bottom"/>
          </w:tcPr>
          <w:p w:rsidR="0025753F" w:rsidRPr="0037143E" w:rsidRDefault="0025753F" w:rsidP="00A84D95">
            <w:pPr>
              <w:jc w:val="center"/>
              <w:cnfStyle w:val="000000100000" w:firstRow="0" w:lastRow="0" w:firstColumn="0" w:lastColumn="0" w:oddVBand="0" w:evenVBand="0" w:oddHBand="1" w:evenHBand="0" w:firstRowFirstColumn="0" w:firstRowLastColumn="0" w:lastRowFirstColumn="0" w:lastRowLastColumn="0"/>
              <w:rPr>
                <w:rFonts w:cs="Arial"/>
                <w:color w:val="auto"/>
              </w:rPr>
            </w:pPr>
            <w:r>
              <w:rPr>
                <w:rFonts w:cs="Arial"/>
                <w:color w:val="auto"/>
              </w:rPr>
              <w:t>-10.0%</w:t>
            </w:r>
          </w:p>
        </w:tc>
      </w:tr>
      <w:tr w:rsidR="0025753F" w:rsidRPr="00C96E40" w:rsidTr="00A84D95">
        <w:trPr>
          <w:trHeight w:val="576"/>
          <w:jc w:val="center"/>
        </w:trPr>
        <w:tc>
          <w:tcPr>
            <w:cnfStyle w:val="001000000000" w:firstRow="0" w:lastRow="0" w:firstColumn="1" w:lastColumn="0" w:oddVBand="0" w:evenVBand="0" w:oddHBand="0" w:evenHBand="0" w:firstRowFirstColumn="0" w:firstRowLastColumn="0" w:lastRowFirstColumn="0" w:lastRowLastColumn="0"/>
            <w:tcW w:w="5277" w:type="dxa"/>
            <w:gridSpan w:val="4"/>
            <w:shd w:val="clear" w:color="auto" w:fill="FFFFFF" w:themeFill="background1"/>
            <w:vAlign w:val="bottom"/>
          </w:tcPr>
          <w:p w:rsidR="0025753F" w:rsidRPr="00C96E40" w:rsidRDefault="0025753F" w:rsidP="00A84D95">
            <w:pPr>
              <w:rPr>
                <w:rFonts w:cs="Arial"/>
                <w:color w:val="auto"/>
              </w:rPr>
            </w:pPr>
            <w:r>
              <w:rPr>
                <w:rFonts w:cs="Arial"/>
                <w:color w:val="auto"/>
              </w:rPr>
              <w:t xml:space="preserve">Source: </w:t>
            </w:r>
            <w:r w:rsidRPr="00DC3712">
              <w:rPr>
                <w:rFonts w:cs="Arial"/>
                <w:b w:val="0"/>
                <w:color w:val="auto"/>
              </w:rPr>
              <w:t xml:space="preserve">Exhibit </w:t>
            </w:r>
            <w:r>
              <w:rPr>
                <w:rFonts w:cs="Arial"/>
                <w:b w:val="0"/>
                <w:color w:val="auto"/>
              </w:rPr>
              <w:t>JP-4</w:t>
            </w:r>
            <w:r w:rsidRPr="00DC3712">
              <w:rPr>
                <w:rFonts w:cs="Arial"/>
                <w:b w:val="0"/>
                <w:color w:val="auto"/>
              </w:rPr>
              <w:t>.</w:t>
            </w:r>
          </w:p>
        </w:tc>
      </w:tr>
    </w:tbl>
    <w:p w:rsidR="00331288" w:rsidRDefault="00331288" w:rsidP="00331288">
      <w:pPr>
        <w:pStyle w:val="TestimonyA"/>
        <w:spacing w:before="360"/>
      </w:pPr>
      <w:r>
        <w:tab/>
        <w:t xml:space="preserve">As the table demonstrates, the revised seasonal FCR-24 rate design would result in similar changes in both the summer (June through September) and non-summer (October through May) rates.  </w:t>
      </w:r>
      <w:r w:rsidR="007E368E">
        <w:t xml:space="preserve">Unlike GPC’s proposal, which would weaken the </w:t>
      </w:r>
      <w:r w:rsidR="007E368E">
        <w:lastRenderedPageBreak/>
        <w:t xml:space="preserve">summer price signals, </w:t>
      </w:r>
      <w:r w:rsidR="0043234B">
        <w:t xml:space="preserve">the revised </w:t>
      </w:r>
      <w:r>
        <w:t xml:space="preserve">FCR-24 </w:t>
      </w:r>
      <w:r w:rsidR="0043234B">
        <w:t xml:space="preserve">rate design </w:t>
      </w:r>
      <w:r>
        <w:t xml:space="preserve">would </w:t>
      </w:r>
      <w:r w:rsidR="0043234B">
        <w:t xml:space="preserve">essentially </w:t>
      </w:r>
      <w:r w:rsidR="007E368E">
        <w:t xml:space="preserve">preserve </w:t>
      </w:r>
      <w:r w:rsidR="0043234B">
        <w:t xml:space="preserve">the same </w:t>
      </w:r>
      <w:r>
        <w:t>price signals</w:t>
      </w:r>
      <w:r w:rsidR="0043234B">
        <w:t xml:space="preserve"> as FCR-23</w:t>
      </w:r>
      <w:r>
        <w:t>.</w:t>
      </w:r>
      <w:r w:rsidR="0043234B">
        <w:t xml:space="preserve">  </w:t>
      </w:r>
    </w:p>
    <w:p w:rsidR="00331288" w:rsidRDefault="00331288" w:rsidP="00894BEC">
      <w:pPr>
        <w:pStyle w:val="Heading2"/>
      </w:pPr>
      <w:bookmarkStart w:id="22" w:name="_Toc434238610"/>
      <w:r>
        <w:t>Imputed Capacity</w:t>
      </w:r>
      <w:bookmarkEnd w:id="22"/>
    </w:p>
    <w:p w:rsidR="00CA1C7A" w:rsidRDefault="00CA1C7A" w:rsidP="00894BEC">
      <w:pPr>
        <w:pStyle w:val="TestimonyQ"/>
        <w:keepNext/>
        <w:widowControl/>
        <w:spacing w:before="240"/>
      </w:pPr>
      <w:r>
        <w:t>q</w:t>
      </w:r>
      <w:r w:rsidR="00331288">
        <w:tab/>
        <w:t>What do you mean by imputed capacity?</w:t>
      </w:r>
    </w:p>
    <w:p w:rsidR="00CA1C7A" w:rsidRDefault="00CA1C7A" w:rsidP="00CA1C7A">
      <w:pPr>
        <w:pStyle w:val="TestimonyA"/>
      </w:pPr>
      <w:r>
        <w:t>A</w:t>
      </w:r>
      <w:r w:rsidR="00331288">
        <w:tab/>
        <w:t>The concept of imputed capacity recognizes that certain renewable resources provide both ca</w:t>
      </w:r>
      <w:r w:rsidR="00B5379A">
        <w:t>pacity as well as energy to GPC</w:t>
      </w:r>
      <w:r w:rsidR="0095486F">
        <w:t xml:space="preserve">.  </w:t>
      </w:r>
      <w:r w:rsidR="00331288">
        <w:t>However, the payments made to acquire these renewable resources may be based entirely on a kWh charge.  Thus, the payments ignore the extent to which each of the renewable resources may be providing firm capacity in addition to energy.</w:t>
      </w:r>
    </w:p>
    <w:p w:rsidR="00CA1C7A" w:rsidRDefault="00CA1C7A" w:rsidP="00CA1C7A">
      <w:pPr>
        <w:pStyle w:val="TestimonyQ"/>
      </w:pPr>
      <w:r>
        <w:t>q</w:t>
      </w:r>
      <w:r w:rsidR="00331288">
        <w:tab/>
        <w:t>Does the FCR rate allow for the recovery of capacity-related costs?</w:t>
      </w:r>
    </w:p>
    <w:p w:rsidR="0095486F" w:rsidRDefault="00CA1C7A" w:rsidP="0095486F">
      <w:pPr>
        <w:pStyle w:val="TestimonyA"/>
      </w:pPr>
      <w:r>
        <w:t>A</w:t>
      </w:r>
      <w:r w:rsidR="00331288">
        <w:tab/>
        <w:t xml:space="preserve">No.  The FCR rate allows for the recovery of fuel related costs from GPC’s generation and the identifiable costs associated with energy purchases.  </w:t>
      </w:r>
      <w:r w:rsidR="0095486F">
        <w:t>Energy purchases include:</w:t>
      </w:r>
    </w:p>
    <w:p w:rsidR="0095486F" w:rsidRPr="008C78D9" w:rsidRDefault="0095486F" w:rsidP="0095486F">
      <w:pPr>
        <w:pStyle w:val="IndentedParagraph"/>
      </w:pPr>
      <w:r w:rsidRPr="008C78D9">
        <w:t>(2)  the identifiable fossil, nuclear, bio-mass (including renewable) fuel and emission allowance costs (including credits, offsets, taxes, tariffs or other mechanisms intended to establish a market price for carbon, carbon dioxide and/or other greenhouse gases) associated with energy purchased for reasons other t</w:t>
      </w:r>
      <w:r>
        <w:t>han identified in (3)…</w:t>
      </w:r>
      <w:r>
        <w:rPr>
          <w:rStyle w:val="FootnoteReference"/>
        </w:rPr>
        <w:footnoteReference w:id="11"/>
      </w:r>
    </w:p>
    <w:p w:rsidR="00CA1C7A" w:rsidRDefault="00331288" w:rsidP="0095486F">
      <w:pPr>
        <w:pStyle w:val="TestimonyA"/>
        <w:ind w:firstLine="0"/>
      </w:pPr>
      <w:r>
        <w:t>Purchase</w:t>
      </w:r>
      <w:r w:rsidR="0095486F">
        <w:t>d</w:t>
      </w:r>
      <w:r>
        <w:t xml:space="preserve"> power capacity-related costs are recovered in base rates.</w:t>
      </w:r>
    </w:p>
    <w:p w:rsidR="00CA1C7A" w:rsidRDefault="00CA1C7A" w:rsidP="00CA1C7A">
      <w:pPr>
        <w:pStyle w:val="TestimonyQ"/>
      </w:pPr>
      <w:r>
        <w:t>q</w:t>
      </w:r>
      <w:r w:rsidR="00331288">
        <w:tab/>
        <w:t>Is imputed capacity becoming a concern?</w:t>
      </w:r>
    </w:p>
    <w:p w:rsidR="00CD4DB9" w:rsidRDefault="00CA1C7A" w:rsidP="00CA1C7A">
      <w:pPr>
        <w:pStyle w:val="TestimonyA"/>
      </w:pPr>
      <w:r>
        <w:t>A</w:t>
      </w:r>
      <w:r w:rsidR="00331288">
        <w:tab/>
        <w:t xml:space="preserve">Yes.  Renewable energy purchases during the FCR-24 test period are projected to account for about 4% of GPC’s energy mix and </w:t>
      </w:r>
      <w:r w:rsidR="00434A43">
        <w:t>nearly 8</w:t>
      </w:r>
      <w:r w:rsidR="00331288">
        <w:t xml:space="preserve">% of total fuel costs.  </w:t>
      </w:r>
      <w:r w:rsidR="00CD4DB9">
        <w:t xml:space="preserve">Further, </w:t>
      </w:r>
      <w:r w:rsidR="00CD4DB9">
        <w:lastRenderedPageBreak/>
        <w:t xml:space="preserve">GPC is acquiring more renewable energy as the Advanced Solar Initiative is further implemented and new renewable contracts become effective.  </w:t>
      </w:r>
    </w:p>
    <w:p w:rsidR="00CA1C7A" w:rsidRDefault="00CD4DB9" w:rsidP="00CD4DB9">
      <w:pPr>
        <w:pStyle w:val="TestimonyA"/>
        <w:ind w:firstLine="720"/>
      </w:pPr>
      <w:r>
        <w:t>The concern is that s</w:t>
      </w:r>
      <w:r w:rsidR="00331288">
        <w:t xml:space="preserve">ome portion of these </w:t>
      </w:r>
      <w:r w:rsidR="00434A43">
        <w:t>“</w:t>
      </w:r>
      <w:r w:rsidR="00331288">
        <w:t>recoverable fuel costs</w:t>
      </w:r>
      <w:r w:rsidR="00434A43">
        <w:t>”</w:t>
      </w:r>
      <w:r w:rsidR="00331288">
        <w:t xml:space="preserve"> are</w:t>
      </w:r>
      <w:r w:rsidR="00E457AD">
        <w:t>,</w:t>
      </w:r>
      <w:r w:rsidR="00331288">
        <w:t xml:space="preserve"> </w:t>
      </w:r>
      <w:r w:rsidR="00434A43">
        <w:t>in reality</w:t>
      </w:r>
      <w:r w:rsidR="00E457AD">
        <w:t>,</w:t>
      </w:r>
      <w:r w:rsidR="00434A43">
        <w:t xml:space="preserve"> </w:t>
      </w:r>
      <w:r w:rsidR="00331288">
        <w:t>payments for capacity.  Accordingly, these capacity-related payments should not</w:t>
      </w:r>
      <w:r>
        <w:t xml:space="preserve"> be included in </w:t>
      </w:r>
      <w:r w:rsidR="00E457AD">
        <w:t xml:space="preserve">calculating </w:t>
      </w:r>
      <w:r>
        <w:t xml:space="preserve">the FCR rate.  </w:t>
      </w:r>
      <w:r w:rsidR="00331288">
        <w:t>However, if these capacity</w:t>
      </w:r>
      <w:r w:rsidR="00862701">
        <w:t>-related payments</w:t>
      </w:r>
      <w:r w:rsidR="00331288">
        <w:t xml:space="preserve"> are to be included in the FCR rate</w:t>
      </w:r>
      <w:r w:rsidR="00E457AD">
        <w:t xml:space="preserve"> calculation</w:t>
      </w:r>
      <w:r w:rsidR="00331288">
        <w:t xml:space="preserve">, </w:t>
      </w:r>
      <w:r w:rsidR="00862701">
        <w:t xml:space="preserve">then, consistent with accepted principles of cost-causation, </w:t>
      </w:r>
      <w:r w:rsidR="00331288">
        <w:t xml:space="preserve">they should be </w:t>
      </w:r>
      <w:r w:rsidR="00E457AD">
        <w:t xml:space="preserve">not be allocated on a kWh basis, like all other fuel costs.  Instead, capacity related costs should be allocated to customer classes using the same methodology that is used to allocate </w:t>
      </w:r>
      <w:r w:rsidR="00CF6915">
        <w:t xml:space="preserve">the </w:t>
      </w:r>
      <w:r w:rsidR="00331288">
        <w:t xml:space="preserve">production capacity costs </w:t>
      </w:r>
      <w:r w:rsidR="00862701">
        <w:t xml:space="preserve">that are recovered in base rates.  </w:t>
      </w:r>
    </w:p>
    <w:p w:rsidR="00CA1C7A" w:rsidRDefault="00CA1C7A" w:rsidP="00CA1C7A">
      <w:pPr>
        <w:pStyle w:val="TestimonyQ"/>
      </w:pPr>
      <w:r>
        <w:t>q</w:t>
      </w:r>
      <w:r w:rsidR="00331288">
        <w:tab/>
        <w:t>What do you recommend?</w:t>
      </w:r>
    </w:p>
    <w:p w:rsidR="00CA1C7A" w:rsidRDefault="00CA1C7A" w:rsidP="00CA1C7A">
      <w:pPr>
        <w:pStyle w:val="TestimonyA"/>
      </w:pPr>
      <w:r>
        <w:t>A</w:t>
      </w:r>
      <w:r w:rsidR="00331288">
        <w:tab/>
        <w:t>As GPC’s purchases of renewable energy continue to escalate, it will be important to ensure that the costs of this energy an</w:t>
      </w:r>
      <w:r w:rsidR="009E13DA">
        <w:t>d capacity are properly accounted</w:t>
      </w:r>
      <w:r w:rsidR="00331288">
        <w:t xml:space="preserve"> for</w:t>
      </w:r>
      <w:r w:rsidR="00862701">
        <w:t xml:space="preserve"> and allocated to customers in a manner that reflects cost-causation</w:t>
      </w:r>
      <w:r w:rsidR="00331288">
        <w:t xml:space="preserve">.  </w:t>
      </w:r>
      <w:r w:rsidR="006C5ABC">
        <w:t>Accordingly</w:t>
      </w:r>
      <w:r w:rsidR="00331288">
        <w:t>, I recommend that the Commission require GPC to identify the amount of imputed capacity-related costs associated with its renewable energy purchases in determining GPC’s base rate costs in the upcoming 2016 rate case.</w:t>
      </w:r>
    </w:p>
    <w:p w:rsidR="006429EA" w:rsidRDefault="00FA2C2F" w:rsidP="006429EA">
      <w:pPr>
        <w:pStyle w:val="TestimonyQ"/>
      </w:pPr>
      <w:r>
        <w:t>q</w:t>
      </w:r>
      <w:r w:rsidR="006429EA">
        <w:tab/>
        <w:t>Does this conclude your Direct Testimony.</w:t>
      </w:r>
    </w:p>
    <w:p w:rsidR="006429EA" w:rsidRDefault="00FA2C2F" w:rsidP="006429EA">
      <w:pPr>
        <w:pStyle w:val="TestimonyA"/>
        <w:sectPr w:rsidR="006429EA" w:rsidSect="00297BB2">
          <w:headerReference w:type="default" r:id="rId15"/>
          <w:pgSz w:w="12240" w:h="15840" w:code="1"/>
          <w:pgMar w:top="1440" w:right="1440" w:bottom="1440" w:left="1728" w:header="576" w:footer="576" w:gutter="0"/>
          <w:lnNumType w:countBy="1"/>
          <w:cols w:space="720"/>
          <w:docGrid w:linePitch="71"/>
        </w:sectPr>
      </w:pPr>
      <w:r>
        <w:t>A</w:t>
      </w:r>
      <w:r w:rsidR="006429EA">
        <w:tab/>
        <w:t>Yes.</w:t>
      </w:r>
    </w:p>
    <w:p w:rsidR="000430C2" w:rsidRPr="00D16788" w:rsidRDefault="000430C2" w:rsidP="00B5455C">
      <w:pPr>
        <w:pStyle w:val="Heading1"/>
        <w:suppressLineNumbers/>
        <w:spacing w:after="0" w:line="360" w:lineRule="auto"/>
        <w:rPr>
          <w:sz w:val="22"/>
          <w:szCs w:val="22"/>
        </w:rPr>
      </w:pPr>
      <w:bookmarkStart w:id="23" w:name="_Toc92683688"/>
      <w:bookmarkStart w:id="24" w:name="_Toc176237650"/>
      <w:bookmarkStart w:id="25" w:name="_Toc180810507"/>
      <w:bookmarkStart w:id="26" w:name="_Toc434238611"/>
      <w:r w:rsidRPr="004206B0">
        <w:lastRenderedPageBreak/>
        <w:t>Appendix A</w:t>
      </w:r>
      <w:bookmarkEnd w:id="23"/>
      <w:bookmarkEnd w:id="24"/>
      <w:bookmarkEnd w:id="25"/>
      <w:bookmarkEnd w:id="26"/>
    </w:p>
    <w:p w:rsidR="000430C2" w:rsidRDefault="000430C2" w:rsidP="00B5455C">
      <w:pPr>
        <w:pStyle w:val="Title"/>
        <w:suppressLineNumbers/>
        <w:spacing w:after="0" w:line="360" w:lineRule="auto"/>
        <w:rPr>
          <w:szCs w:val="22"/>
          <w:u w:val="single"/>
        </w:rPr>
      </w:pPr>
      <w:r w:rsidRPr="004206B0">
        <w:rPr>
          <w:szCs w:val="22"/>
          <w:u w:val="single"/>
        </w:rPr>
        <w:t>Qualifications of Jeffry Pollock</w:t>
      </w:r>
    </w:p>
    <w:p w:rsidR="000430C2" w:rsidRPr="00D16788" w:rsidRDefault="000430C2" w:rsidP="00B5455C">
      <w:pPr>
        <w:pStyle w:val="Title"/>
        <w:suppressLineNumbers/>
        <w:spacing w:after="0" w:line="360" w:lineRule="auto"/>
        <w:rPr>
          <w:b w:val="0"/>
          <w:bCs w:val="0"/>
          <w:szCs w:val="22"/>
          <w:u w:val="single"/>
        </w:rPr>
      </w:pPr>
    </w:p>
    <w:p w:rsidR="00CA1BED" w:rsidRDefault="00CA1BED" w:rsidP="00CA1BED">
      <w:pPr>
        <w:pStyle w:val="TestimonyQ"/>
      </w:pPr>
      <w:r w:rsidRPr="00203962">
        <w:t>Q</w:t>
      </w:r>
      <w:r w:rsidRPr="00B63116">
        <w:rPr>
          <w:b w:val="0"/>
          <w:color w:val="000000"/>
        </w:rPr>
        <w:tab/>
      </w:r>
      <w:r>
        <w:t xml:space="preserve">please state your name and business address. </w:t>
      </w:r>
    </w:p>
    <w:p w:rsidR="00CA1BED" w:rsidRDefault="00CA1BED" w:rsidP="00CA1BED">
      <w:pPr>
        <w:pStyle w:val="TestimonyA"/>
      </w:pPr>
      <w:r>
        <w:t>A</w:t>
      </w:r>
      <w:r>
        <w:tab/>
        <w:t xml:space="preserve">Jeffry Pollock.  My business mailing address is 12647 Olive Blvd., Suite 585, St. Louis, Missouri 63141.  </w:t>
      </w:r>
    </w:p>
    <w:p w:rsidR="00CA1BED" w:rsidRDefault="00CA1BED" w:rsidP="00CA1BED">
      <w:pPr>
        <w:pStyle w:val="TestimonyQ"/>
      </w:pPr>
      <w:r>
        <w:t>q</w:t>
      </w:r>
      <w:r>
        <w:tab/>
        <w:t xml:space="preserve">what is your occupation and by whom are you employed?  </w:t>
      </w:r>
    </w:p>
    <w:p w:rsidR="00CA1BED" w:rsidRDefault="00CA1BED" w:rsidP="00CA1BED">
      <w:pPr>
        <w:pStyle w:val="TestimonyA"/>
      </w:pPr>
      <w:r>
        <w:t>A</w:t>
      </w:r>
      <w:r>
        <w:tab/>
        <w:t xml:space="preserve">I am an energy advisor and President of J. Pollock, Incorporated.  </w:t>
      </w:r>
    </w:p>
    <w:p w:rsidR="00CA1BED" w:rsidRDefault="00CA1BED" w:rsidP="00CA1BED">
      <w:pPr>
        <w:pStyle w:val="TestimonyQ"/>
      </w:pPr>
      <w:r>
        <w:t>q</w:t>
      </w:r>
      <w:r>
        <w:tab/>
        <w:t xml:space="preserve">please state your educational background and experience.  </w:t>
      </w:r>
    </w:p>
    <w:p w:rsidR="00CA1BED" w:rsidRDefault="00CA1BED" w:rsidP="00CA1BED">
      <w:pPr>
        <w:pStyle w:val="TestimonyA"/>
      </w:pPr>
      <w:r>
        <w:t>A</w:t>
      </w:r>
      <w:r>
        <w:tab/>
        <w:t>I have a Bachelor of Science Degree in Electrical Engineering and a Masters in Business Administration from Washington University.  I have also completed a Utility Finance and Accounting course.</w:t>
      </w:r>
    </w:p>
    <w:p w:rsidR="00CA1BED" w:rsidRDefault="00CA1BED" w:rsidP="00CA1BED">
      <w:pPr>
        <w:pStyle w:val="TestimonyA"/>
      </w:pPr>
      <w:r>
        <w:tab/>
      </w:r>
      <w:r>
        <w:tab/>
        <w:t xml:space="preserve">Upon graduation in June 1975, I joined Drazen-Brubaker &amp; Associates, Inc. (DBA).  DBA was incorporated in 1972 assuming the utility rate and economic consulting activities of Drazen Associates, Inc., active since 1937.  From April 1995 to November 2004, I was a managing principal at Brubaker &amp; Associates (BAI).  </w:t>
      </w:r>
    </w:p>
    <w:p w:rsidR="00CA1BED" w:rsidRDefault="00CA1BED" w:rsidP="00CA1BED">
      <w:pPr>
        <w:pStyle w:val="TestimonyA"/>
      </w:pPr>
      <w:r>
        <w:tab/>
      </w:r>
      <w:r>
        <w:tab/>
        <w:t xml:space="preserve">During my tenure at both DBA and BAI, I have been engaged in a wide range of consulting assignments including energy and regulatory matters in both the United States and several Canadian provinces.  This includes preparing financial and economic studies of investor-owned, cooperative and municipal utilities on revenue requirements, cost of service and rate design, and conducting site evaluation.  Recent engagements have included advising clients on electric restructuring issues, assisting clients to procure and manage electricity in both competitive and regulated markets, developing and issuing requests for proposals (RFPs), evaluating RFP </w:t>
      </w:r>
      <w:r>
        <w:lastRenderedPageBreak/>
        <w:t xml:space="preserve">responses and contract negotiation.  I was also responsible for developing and presenting seminars on electricity issues.  </w:t>
      </w:r>
    </w:p>
    <w:p w:rsidR="00CA1BED" w:rsidRDefault="00CA1BED" w:rsidP="00CA1BED">
      <w:pPr>
        <w:pStyle w:val="TestimonyA"/>
      </w:pPr>
      <w:r>
        <w:tab/>
      </w:r>
      <w:r>
        <w:tab/>
        <w:t xml:space="preserve">I have worked on various projects in over 20 states and several Canadian provinces, and have testified before the Federal Energy Regulatory Commission and the state regulatory commissions of Alabama, Arizona, </w:t>
      </w:r>
      <w:r w:rsidR="00F87079">
        <w:t xml:space="preserve">Arkansas, </w:t>
      </w:r>
      <w:r>
        <w:t xml:space="preserve">Colorado, Delaware, Florida, Georgia, Illinois, Indiana, Iowa, Kansas, Louisiana, Minnesota, Mississippi, Missouri, Montana, New Jersey, New Mexico, </w:t>
      </w:r>
      <w:r w:rsidR="00F87079">
        <w:t xml:space="preserve">New York, </w:t>
      </w:r>
      <w:r>
        <w:t xml:space="preserve">Ohio, Pennsylvania, Texas, Virginia, Washington, and Wyoming.  </w:t>
      </w:r>
      <w:r w:rsidR="00F87079">
        <w:t xml:space="preserve">I have also appeared before the City of Austin Electric Utility Commission, the Board of Public Utilities of Kansas City, Kansas, the Board of Directors of the South Carolina Public Service Authority (a.k.a. Santee Cooper), the Bonneville Power Administration, Travis County (Texas) District Court, and the U.S. Federal District Court.  </w:t>
      </w:r>
    </w:p>
    <w:p w:rsidR="00CA1BED" w:rsidRDefault="00CA1BED" w:rsidP="00CA1BED">
      <w:pPr>
        <w:pStyle w:val="TestimonyQ"/>
        <w:keepNext/>
      </w:pPr>
      <w:r>
        <w:t>q</w:t>
      </w:r>
      <w:r>
        <w:tab/>
        <w:t xml:space="preserve">Please describe j. pollock, incorporated. </w:t>
      </w:r>
    </w:p>
    <w:p w:rsidR="00CA1BED" w:rsidRPr="00514566" w:rsidRDefault="00CA1BED" w:rsidP="00CA1BED">
      <w:pPr>
        <w:pStyle w:val="TestimonyA"/>
      </w:pPr>
      <w:r>
        <w:t>A</w:t>
      </w:r>
      <w:r>
        <w:tab/>
        <w:t xml:space="preserve">J.Pollock assists clients to procure and manage energy in both regulated and competitive markets.  The J.Pollock team also advises clients on energy and regulatory issues.  Our clients include commercial, industrial and institutional energy consumers.  </w:t>
      </w:r>
      <w:r w:rsidRPr="00205044">
        <w:t xml:space="preserve">J.Pollock is a registered Class I aggregator in the State of Texas. </w:t>
      </w:r>
    </w:p>
    <w:p w:rsidR="000430C2" w:rsidRDefault="000430C2" w:rsidP="000430C2">
      <w:pPr>
        <w:pStyle w:val="TestimonyA"/>
        <w:suppressLineNumbers/>
        <w:sectPr w:rsidR="000430C2" w:rsidSect="00297BB2">
          <w:footerReference w:type="default" r:id="rId16"/>
          <w:pgSz w:w="12240" w:h="15840" w:code="1"/>
          <w:pgMar w:top="1440" w:right="1440" w:bottom="1440" w:left="1728" w:header="576" w:footer="576" w:gutter="0"/>
          <w:lnNumType w:countBy="1"/>
          <w:cols w:space="720"/>
          <w:docGrid w:linePitch="71"/>
        </w:sectPr>
      </w:pPr>
    </w:p>
    <w:p w:rsidR="00F4594C" w:rsidRDefault="00F4594C" w:rsidP="00CA1BED">
      <w:pPr>
        <w:pStyle w:val="Heading1"/>
        <w:suppressLineNumbers/>
        <w:spacing w:after="0" w:line="360" w:lineRule="auto"/>
      </w:pPr>
      <w:bookmarkStart w:id="27" w:name="_Toc434238612"/>
      <w:bookmarkStart w:id="28" w:name="_Toc180810508"/>
      <w:r>
        <w:lastRenderedPageBreak/>
        <w:t>appendix B</w:t>
      </w:r>
      <w:bookmarkEnd w:id="27"/>
    </w:p>
    <w:p w:rsidR="00A14FB0" w:rsidRDefault="00F4594C" w:rsidP="00133CFF">
      <w:pPr>
        <w:pStyle w:val="Title"/>
        <w:suppressLineNumbers/>
      </w:pPr>
      <w:r>
        <w:t>Partial List of Appearances</w:t>
      </w:r>
      <w:bookmarkEnd w:id="28"/>
    </w:p>
    <w:sectPr w:rsidR="00A14FB0" w:rsidSect="00322993">
      <w:footerReference w:type="default" r:id="rId17"/>
      <w:pgSz w:w="12240" w:h="15840" w:code="1"/>
      <w:pgMar w:top="1440" w:right="1440" w:bottom="1440" w:left="1728" w:header="720" w:footer="720" w:gutter="0"/>
      <w:lnNumType w:countBy="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E36" w:rsidRPr="00E521A0" w:rsidRDefault="00786E36" w:rsidP="00022907">
      <w:pPr>
        <w:pStyle w:val="BodyText0DS"/>
      </w:pPr>
      <w:r>
        <w:separator/>
      </w:r>
    </w:p>
  </w:endnote>
  <w:endnote w:type="continuationSeparator" w:id="0">
    <w:p w:rsidR="00786E36" w:rsidRPr="00E521A0" w:rsidRDefault="00786E36" w:rsidP="00022907">
      <w:pPr>
        <w:pStyle w:val="BodyText0D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G Omeg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36" w:rsidRDefault="00786E36" w:rsidP="007A0605">
    <w:pPr>
      <w:pBdr>
        <w:top w:val="single" w:sz="18" w:space="1" w:color="auto"/>
      </w:pBdr>
      <w:tabs>
        <w:tab w:val="right" w:pos="9360"/>
      </w:tabs>
      <w:ind w:left="360"/>
      <w:jc w:val="right"/>
      <w:rPr>
        <w:rFonts w:cs="Arial"/>
        <w:b/>
        <w:spacing w:val="40"/>
        <w:szCs w:val="22"/>
      </w:rPr>
    </w:pPr>
  </w:p>
  <w:p w:rsidR="00786E36" w:rsidRDefault="00786E36" w:rsidP="007A0605">
    <w:pPr>
      <w:pBdr>
        <w:top w:val="single" w:sz="18" w:space="1" w:color="auto"/>
      </w:pBdr>
      <w:tabs>
        <w:tab w:val="right" w:pos="9360"/>
      </w:tabs>
      <w:ind w:left="360"/>
      <w:jc w:val="right"/>
      <w:rPr>
        <w:rFonts w:cs="Arial"/>
        <w:b/>
        <w:spacing w:val="40"/>
        <w:szCs w:val="22"/>
      </w:rPr>
    </w:pPr>
  </w:p>
  <w:p w:rsidR="00786E36" w:rsidRDefault="00786E36" w:rsidP="007A0605">
    <w:pPr>
      <w:pBdr>
        <w:top w:val="single" w:sz="18" w:space="1" w:color="auto"/>
      </w:pBdr>
      <w:tabs>
        <w:tab w:val="right" w:pos="9360"/>
      </w:tabs>
      <w:ind w:left="360"/>
      <w:jc w:val="right"/>
      <w:rPr>
        <w:rFonts w:cs="Arial"/>
        <w:b/>
        <w:spacing w:val="40"/>
        <w:szCs w:val="22"/>
      </w:rPr>
    </w:pPr>
  </w:p>
  <w:p w:rsidR="00786E36" w:rsidRPr="00B00588" w:rsidRDefault="00786E36" w:rsidP="007A0605">
    <w:pPr>
      <w:jc w:val="center"/>
      <w:rPr>
        <w:rFonts w:ascii="CG Omega" w:hAnsi="CG Omega"/>
        <w:b/>
        <w:color w:val="000080"/>
        <w:spacing w:val="40"/>
        <w:szCs w:val="22"/>
        <w:u w:val="single"/>
      </w:rPr>
    </w:pPr>
    <w:r w:rsidRPr="00B00588">
      <w:rPr>
        <w:rFonts w:ascii="CG Omega" w:hAnsi="CG Omega"/>
        <w:b/>
        <w:color w:val="000080"/>
        <w:spacing w:val="40"/>
        <w:szCs w:val="22"/>
        <w:u w:val="single"/>
      </w:rPr>
      <w:t>J.POLLOCK</w:t>
    </w:r>
  </w:p>
  <w:p w:rsidR="00786E36" w:rsidRDefault="00786E36" w:rsidP="007A0605">
    <w:pPr>
      <w:jc w:val="center"/>
      <w:rPr>
        <w:rFonts w:ascii="CG Omega" w:hAnsi="CG Omega"/>
        <w:b/>
        <w:smallCaps/>
        <w:color w:val="993300"/>
        <w:spacing w:val="40"/>
        <w:sz w:val="16"/>
        <w:szCs w:val="16"/>
      </w:rPr>
    </w:pPr>
    <w:r w:rsidRPr="001246F6">
      <w:rPr>
        <w:rFonts w:ascii="CG Omega" w:hAnsi="CG Omega"/>
        <w:b/>
        <w:smallCaps/>
        <w:color w:val="993300"/>
        <w:spacing w:val="40"/>
        <w:sz w:val="16"/>
        <w:szCs w:val="16"/>
      </w:rPr>
      <w:t>incorporated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36" w:rsidRPr="00497C6B" w:rsidRDefault="00786E36" w:rsidP="00D91226">
    <w:pPr>
      <w:pStyle w:val="Footer"/>
      <w:jc w:val="center"/>
      <w:rPr>
        <w:rFonts w:ascii="CG Omega" w:hAnsi="CG Omega"/>
        <w:bCs/>
        <w:spacing w:val="30"/>
        <w:szCs w:val="22"/>
        <w:u w:val="single"/>
      </w:rPr>
    </w:pPr>
  </w:p>
  <w:p w:rsidR="00786E36" w:rsidRPr="00497C6B" w:rsidRDefault="00786E36" w:rsidP="00D91226">
    <w:pPr>
      <w:pStyle w:val="Footer"/>
      <w:jc w:val="center"/>
      <w:rPr>
        <w:rFonts w:ascii="CG Omega" w:hAnsi="CG Omega"/>
        <w:color w:val="000080"/>
        <w:spacing w:val="40"/>
        <w:szCs w:val="22"/>
        <w:u w:val="single"/>
      </w:rPr>
    </w:pPr>
    <w:r w:rsidRPr="00497C6B">
      <w:rPr>
        <w:rFonts w:ascii="CG Omega" w:hAnsi="CG Omega"/>
        <w:color w:val="000080"/>
        <w:spacing w:val="40"/>
        <w:szCs w:val="22"/>
        <w:u w:val="single"/>
      </w:rPr>
      <w:t>J.POLLOCK</w:t>
    </w:r>
  </w:p>
  <w:p w:rsidR="00786E36" w:rsidRPr="00497C6B" w:rsidRDefault="00786E36" w:rsidP="00D91226">
    <w:pPr>
      <w:pStyle w:val="Footer"/>
      <w:jc w:val="center"/>
    </w:pPr>
    <w:r w:rsidRPr="00497C6B">
      <w:rPr>
        <w:rFonts w:ascii="CG Omega" w:hAnsi="CG Omega"/>
        <w:smallCaps/>
        <w:color w:val="993300"/>
        <w:spacing w:val="40"/>
        <w:sz w:val="16"/>
        <w:szCs w:val="16"/>
      </w:rPr>
      <w:t>incorporated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FF" w:rsidRPr="00497C6B" w:rsidRDefault="00133CFF" w:rsidP="00D91226">
    <w:pPr>
      <w:pStyle w:val="Footer"/>
      <w:rPr>
        <w:rFonts w:cs="Arial"/>
        <w:bCs/>
        <w:sz w:val="20"/>
      </w:rPr>
    </w:pPr>
    <w:r w:rsidRPr="00497C6B">
      <w:rPr>
        <w:rFonts w:cs="Arial"/>
        <w:bCs/>
        <w:sz w:val="20"/>
      </w:rPr>
      <w:t>Appendix A</w:t>
    </w:r>
  </w:p>
  <w:p w:rsidR="00133CFF" w:rsidRPr="00497C6B" w:rsidRDefault="00133CFF" w:rsidP="00D91226">
    <w:pPr>
      <w:pStyle w:val="Footer"/>
      <w:jc w:val="center"/>
      <w:rPr>
        <w:rFonts w:ascii="CG Omega" w:hAnsi="CG Omega"/>
        <w:bCs/>
        <w:spacing w:val="30"/>
        <w:szCs w:val="22"/>
        <w:u w:val="single"/>
      </w:rPr>
    </w:pPr>
  </w:p>
  <w:p w:rsidR="00133CFF" w:rsidRPr="00497C6B" w:rsidRDefault="00133CFF" w:rsidP="00D91226">
    <w:pPr>
      <w:pStyle w:val="Footer"/>
      <w:jc w:val="center"/>
      <w:rPr>
        <w:rFonts w:ascii="CG Omega" w:hAnsi="CG Omega"/>
        <w:color w:val="000080"/>
        <w:spacing w:val="40"/>
        <w:szCs w:val="22"/>
        <w:u w:val="single"/>
      </w:rPr>
    </w:pPr>
    <w:r w:rsidRPr="00497C6B">
      <w:rPr>
        <w:rFonts w:ascii="CG Omega" w:hAnsi="CG Omega"/>
        <w:color w:val="000080"/>
        <w:spacing w:val="40"/>
        <w:szCs w:val="22"/>
        <w:u w:val="single"/>
      </w:rPr>
      <w:t>J.POLLOCK</w:t>
    </w:r>
  </w:p>
  <w:p w:rsidR="00133CFF" w:rsidRPr="00497C6B" w:rsidRDefault="00133CFF" w:rsidP="00D91226">
    <w:pPr>
      <w:pStyle w:val="Footer"/>
      <w:jc w:val="center"/>
    </w:pPr>
    <w:r w:rsidRPr="00497C6B">
      <w:rPr>
        <w:rFonts w:ascii="CG Omega" w:hAnsi="CG Omega"/>
        <w:smallCaps/>
        <w:color w:val="993300"/>
        <w:spacing w:val="40"/>
        <w:sz w:val="16"/>
        <w:szCs w:val="16"/>
      </w:rPr>
      <w:t>incorporated</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36" w:rsidRPr="00497C6B" w:rsidRDefault="00786E36" w:rsidP="00D91226">
    <w:pPr>
      <w:pStyle w:val="Footer"/>
      <w:rPr>
        <w:rFonts w:cs="Arial"/>
        <w:bCs/>
        <w:sz w:val="20"/>
      </w:rPr>
    </w:pPr>
    <w:r>
      <w:rPr>
        <w:rFonts w:cs="Arial"/>
        <w:bCs/>
        <w:sz w:val="20"/>
      </w:rPr>
      <w:t>A</w:t>
    </w:r>
    <w:r w:rsidR="00133CFF">
      <w:rPr>
        <w:rFonts w:cs="Arial"/>
        <w:bCs/>
        <w:sz w:val="20"/>
      </w:rPr>
      <w:t>ppendix B</w:t>
    </w:r>
  </w:p>
  <w:p w:rsidR="00786E36" w:rsidRPr="00497C6B" w:rsidRDefault="00786E36" w:rsidP="00D91226">
    <w:pPr>
      <w:pStyle w:val="Footer"/>
      <w:jc w:val="center"/>
      <w:rPr>
        <w:rFonts w:ascii="CG Omega" w:hAnsi="CG Omega"/>
        <w:bCs/>
        <w:spacing w:val="30"/>
        <w:szCs w:val="22"/>
        <w:u w:val="single"/>
      </w:rPr>
    </w:pPr>
  </w:p>
  <w:p w:rsidR="00786E36" w:rsidRPr="00497C6B" w:rsidRDefault="00786E36" w:rsidP="00D91226">
    <w:pPr>
      <w:pStyle w:val="Footer"/>
      <w:jc w:val="center"/>
      <w:rPr>
        <w:rFonts w:ascii="CG Omega" w:hAnsi="CG Omega"/>
        <w:color w:val="000080"/>
        <w:spacing w:val="40"/>
        <w:szCs w:val="22"/>
        <w:u w:val="single"/>
      </w:rPr>
    </w:pPr>
    <w:r w:rsidRPr="00497C6B">
      <w:rPr>
        <w:rFonts w:ascii="CG Omega" w:hAnsi="CG Omega"/>
        <w:color w:val="000080"/>
        <w:spacing w:val="40"/>
        <w:szCs w:val="22"/>
        <w:u w:val="single"/>
      </w:rPr>
      <w:t>J.POLLOCK</w:t>
    </w:r>
  </w:p>
  <w:p w:rsidR="00786E36" w:rsidRPr="00497C6B" w:rsidRDefault="00786E36" w:rsidP="00D91226">
    <w:pPr>
      <w:pStyle w:val="Footer"/>
      <w:jc w:val="center"/>
    </w:pPr>
    <w:r w:rsidRPr="00497C6B">
      <w:rPr>
        <w:rFonts w:ascii="CG Omega" w:hAnsi="CG Omega"/>
        <w:smallCaps/>
        <w:color w:val="993300"/>
        <w:spacing w:val="40"/>
        <w:sz w:val="16"/>
        <w:szCs w:val="16"/>
      </w:rPr>
      <w:t>incorporated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E36" w:rsidRPr="00E521A0" w:rsidRDefault="00786E36" w:rsidP="00C73C03">
      <w:pPr>
        <w:pStyle w:val="BodyText0DS"/>
        <w:spacing w:after="120" w:line="240" w:lineRule="auto"/>
      </w:pPr>
      <w:r>
        <w:separator/>
      </w:r>
    </w:p>
  </w:footnote>
  <w:footnote w:type="continuationSeparator" w:id="0">
    <w:p w:rsidR="00786E36" w:rsidRPr="00E521A0" w:rsidRDefault="00786E36" w:rsidP="00022907">
      <w:pPr>
        <w:pStyle w:val="BodyText0DS"/>
      </w:pPr>
      <w:r>
        <w:continuationSeparator/>
      </w:r>
    </w:p>
  </w:footnote>
  <w:footnote w:type="continuationNotice" w:id="1">
    <w:p w:rsidR="00786E36" w:rsidRDefault="00786E36"/>
  </w:footnote>
  <w:footnote w:id="2">
    <w:p w:rsidR="003505D8" w:rsidRDefault="003505D8" w:rsidP="00E91775">
      <w:pPr>
        <w:pStyle w:val="FootnoteText"/>
        <w:ind w:left="0" w:firstLine="0"/>
      </w:pPr>
      <w:r>
        <w:rPr>
          <w:rStyle w:val="FootnoteReference"/>
        </w:rPr>
        <w:footnoteRef/>
      </w:r>
      <w:r>
        <w:t xml:space="preserve">  NYMEX futures prices reflect natural gas </w:t>
      </w:r>
      <w:r w:rsidR="00E91775">
        <w:t>deliveries</w:t>
      </w:r>
      <w:r>
        <w:t xml:space="preserve"> at the Henry Hub.  </w:t>
      </w:r>
      <w:r w:rsidR="00E91775" w:rsidRPr="00E91775">
        <w:t>The Henry Hub is a distribution hub on the natural gas pipe</w:t>
      </w:r>
      <w:r w:rsidR="00E91775">
        <w:t xml:space="preserve">line system in Erath, Louisiana.  </w:t>
      </w:r>
    </w:p>
  </w:footnote>
  <w:footnote w:id="3">
    <w:p w:rsidR="00A42A8B" w:rsidRDefault="00A42A8B" w:rsidP="00B66392">
      <w:pPr>
        <w:pStyle w:val="Footnote"/>
        <w:jc w:val="both"/>
      </w:pPr>
      <w:r>
        <w:rPr>
          <w:rStyle w:val="FootnoteReference"/>
        </w:rPr>
        <w:footnoteRef/>
      </w:r>
      <w:r>
        <w:t xml:space="preserve">  Direct Testi</w:t>
      </w:r>
      <w:r w:rsidR="00267619">
        <w:t>mony of David P. Poroch at 6</w:t>
      </w:r>
      <w:r w:rsidR="00983404">
        <w:t xml:space="preserve"> and MFRP-6.4</w:t>
      </w:r>
      <w:r w:rsidR="00267619">
        <w:t xml:space="preserve">.  Please note </w:t>
      </w:r>
      <w:r>
        <w:t>the $3.43 excludes hedge settlements.</w:t>
      </w:r>
    </w:p>
  </w:footnote>
  <w:footnote w:id="4">
    <w:p w:rsidR="00BE20B8" w:rsidRDefault="00BE20B8" w:rsidP="00B66392">
      <w:pPr>
        <w:pStyle w:val="Footnote"/>
        <w:jc w:val="both"/>
      </w:pPr>
      <w:r>
        <w:rPr>
          <w:rStyle w:val="FootnoteReference"/>
        </w:rPr>
        <w:footnoteRef/>
      </w:r>
      <w:r>
        <w:t xml:space="preserve">  </w:t>
      </w:r>
      <w:r w:rsidR="00D2115D" w:rsidRPr="00D2115D">
        <w:rPr>
          <w:i/>
        </w:rPr>
        <w:t xml:space="preserve">In Re: </w:t>
      </w:r>
      <w:r w:rsidR="00983404" w:rsidRPr="00D2115D">
        <w:rPr>
          <w:i/>
        </w:rPr>
        <w:t>Georgia</w:t>
      </w:r>
      <w:r w:rsidR="00D2115D" w:rsidRPr="00D2115D">
        <w:rPr>
          <w:i/>
        </w:rPr>
        <w:t xml:space="preserve"> Power Company’s Fuel Cost Recovery Application (FCR-23)</w:t>
      </w:r>
      <w:r w:rsidR="00D2115D">
        <w:t xml:space="preserve">, </w:t>
      </w:r>
      <w:r>
        <w:t>Docket No. 35277, Direct Testimony of Elliot L. Spencer and Thomas R. Thames at 8.</w:t>
      </w:r>
    </w:p>
  </w:footnote>
  <w:footnote w:id="5">
    <w:p w:rsidR="00E25C2F" w:rsidRDefault="00E25C2F">
      <w:pPr>
        <w:pStyle w:val="FootnoteText"/>
      </w:pPr>
      <w:r>
        <w:rPr>
          <w:rStyle w:val="FootnoteReference"/>
        </w:rPr>
        <w:footnoteRef/>
      </w:r>
      <w:r>
        <w:t xml:space="preserve">  Direct Testimony of David P. Poroch at 2-3.</w:t>
      </w:r>
    </w:p>
  </w:footnote>
  <w:footnote w:id="6">
    <w:p w:rsidR="00071635" w:rsidRDefault="00071635">
      <w:pPr>
        <w:pStyle w:val="FootnoteText"/>
      </w:pPr>
      <w:r>
        <w:rPr>
          <w:rStyle w:val="FootnoteReference"/>
        </w:rPr>
        <w:footnoteRef/>
      </w:r>
      <w:r>
        <w:t xml:space="preserve">  </w:t>
      </w:r>
      <w:r w:rsidRPr="00071635">
        <w:rPr>
          <w:i/>
        </w:rPr>
        <w:t>Id</w:t>
      </w:r>
      <w:r>
        <w:t>. at 9.</w:t>
      </w:r>
    </w:p>
  </w:footnote>
  <w:footnote w:id="7">
    <w:p w:rsidR="007C274F" w:rsidRDefault="007C274F">
      <w:pPr>
        <w:pStyle w:val="FootnoteText"/>
      </w:pPr>
      <w:r>
        <w:rPr>
          <w:rStyle w:val="FootnoteReference"/>
        </w:rPr>
        <w:footnoteRef/>
      </w:r>
      <w:r>
        <w:t xml:space="preserve">  I</w:t>
      </w:r>
      <w:r w:rsidRPr="007C274F">
        <w:rPr>
          <w:i/>
        </w:rPr>
        <w:t>d.</w:t>
      </w:r>
      <w:r>
        <w:t xml:space="preserve"> at 7.</w:t>
      </w:r>
    </w:p>
  </w:footnote>
  <w:footnote w:id="8">
    <w:p w:rsidR="007C274F" w:rsidRDefault="007C274F">
      <w:pPr>
        <w:pStyle w:val="FootnoteText"/>
      </w:pPr>
      <w:r>
        <w:rPr>
          <w:rStyle w:val="FootnoteReference"/>
        </w:rPr>
        <w:footnoteRef/>
      </w:r>
      <w:r>
        <w:t xml:space="preserve">  </w:t>
      </w:r>
      <w:r w:rsidR="00BB55E6" w:rsidRPr="00BB55E6">
        <w:rPr>
          <w:i/>
        </w:rPr>
        <w:t>Id.</w:t>
      </w:r>
      <w:r w:rsidR="00BB55E6">
        <w:t xml:space="preserve"> at DPP Exhibit 1</w:t>
      </w:r>
      <w:r w:rsidR="00CC04EC">
        <w:t>A –TS.</w:t>
      </w:r>
    </w:p>
  </w:footnote>
  <w:footnote w:id="9">
    <w:p w:rsidR="00A65D17" w:rsidRDefault="00A65D17">
      <w:pPr>
        <w:pStyle w:val="FootnoteText"/>
      </w:pPr>
      <w:r>
        <w:rPr>
          <w:rStyle w:val="FootnoteReference"/>
        </w:rPr>
        <w:footnoteRef/>
      </w:r>
      <w:r>
        <w:t xml:space="preserve">  </w:t>
      </w:r>
      <w:r w:rsidRPr="00A65D17">
        <w:rPr>
          <w:i/>
        </w:rPr>
        <w:t>Id.</w:t>
      </w:r>
      <w:r>
        <w:t xml:space="preserve"> at 15.</w:t>
      </w:r>
    </w:p>
  </w:footnote>
  <w:footnote w:id="10">
    <w:p w:rsidR="00FA2C2F" w:rsidRDefault="00FA2C2F">
      <w:pPr>
        <w:pStyle w:val="FootnoteText"/>
      </w:pPr>
      <w:r>
        <w:rPr>
          <w:rStyle w:val="FootnoteReference"/>
        </w:rPr>
        <w:footnoteRef/>
      </w:r>
      <w:r>
        <w:t xml:space="preserve">  </w:t>
      </w:r>
      <w:r w:rsidRPr="00FA2C2F">
        <w:rPr>
          <w:i/>
        </w:rPr>
        <w:t>Id.</w:t>
      </w:r>
      <w:r>
        <w:t xml:space="preserve"> at </w:t>
      </w:r>
      <w:r w:rsidR="00F27995">
        <w:t>15-</w:t>
      </w:r>
      <w:r>
        <w:t>16.</w:t>
      </w:r>
    </w:p>
  </w:footnote>
  <w:footnote w:id="11">
    <w:p w:rsidR="0095486F" w:rsidRDefault="0095486F" w:rsidP="0095486F">
      <w:pPr>
        <w:pStyle w:val="Footnote"/>
      </w:pPr>
      <w:r>
        <w:rPr>
          <w:rStyle w:val="FootnoteReference"/>
        </w:rPr>
        <w:footnoteRef/>
      </w:r>
      <w:r>
        <w:t xml:space="preserve">  GPC Electric Service Tariff – Fuel Cost Recovery Schedule:   “FCR-23” at page 10.40.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36" w:rsidRPr="0098418F" w:rsidRDefault="00786E36" w:rsidP="00022907">
    <w:pPr>
      <w:tabs>
        <w:tab w:val="right" w:pos="9540"/>
      </w:tabs>
      <w:ind w:right="-576"/>
      <w:rPr>
        <w:b/>
        <w:szCs w:val="18"/>
      </w:rPr>
    </w:pPr>
    <w:r w:rsidRPr="00F47821">
      <w:rPr>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36" w:rsidRPr="006775E6" w:rsidRDefault="00786E36" w:rsidP="000D17EC">
    <w:pPr>
      <w:tabs>
        <w:tab w:val="left" w:pos="7200"/>
        <w:tab w:val="right" w:pos="9000"/>
      </w:tabs>
      <w:ind w:left="6480" w:right="-360"/>
      <w:rPr>
        <w:b/>
        <w:szCs w:val="22"/>
      </w:rPr>
    </w:pPr>
    <w:r>
      <w:rPr>
        <w:bCs/>
        <w:caps/>
        <w:szCs w:val="22"/>
      </w:rPr>
      <w:tab/>
    </w:r>
    <w:r w:rsidRPr="006775E6">
      <w:rPr>
        <w:b/>
        <w:bCs/>
        <w:szCs w:val="22"/>
      </w:rPr>
      <w:t>Jeffry Pollock</w:t>
    </w:r>
  </w:p>
  <w:p w:rsidR="00786E36" w:rsidRDefault="00786E36" w:rsidP="000D17EC">
    <w:pPr>
      <w:tabs>
        <w:tab w:val="left" w:pos="7200"/>
      </w:tabs>
      <w:ind w:left="6480"/>
      <w:rPr>
        <w:b/>
        <w:szCs w:val="22"/>
      </w:rPr>
    </w:pPr>
    <w:r>
      <w:rPr>
        <w:b/>
        <w:szCs w:val="22"/>
      </w:rPr>
      <w:tab/>
      <w:t xml:space="preserve">Page </w:t>
    </w:r>
    <w:r w:rsidRPr="00FA5E21">
      <w:rPr>
        <w:b/>
        <w:szCs w:val="22"/>
      </w:rPr>
      <w:fldChar w:fldCharType="begin"/>
    </w:r>
    <w:r w:rsidRPr="00FA5E21">
      <w:rPr>
        <w:b/>
        <w:szCs w:val="22"/>
      </w:rPr>
      <w:instrText xml:space="preserve"> PAGE   \* MERGEFORMAT </w:instrText>
    </w:r>
    <w:r w:rsidRPr="00FA5E21">
      <w:rPr>
        <w:b/>
        <w:szCs w:val="22"/>
      </w:rPr>
      <w:fldChar w:fldCharType="separate"/>
    </w:r>
    <w:r w:rsidR="0094562D">
      <w:rPr>
        <w:b/>
        <w:noProof/>
        <w:szCs w:val="22"/>
      </w:rPr>
      <w:t>6</w:t>
    </w:r>
    <w:r w:rsidRPr="00FA5E21">
      <w:rPr>
        <w:b/>
        <w:szCs w:val="22"/>
      </w:rPr>
      <w:fldChar w:fldCharType="end"/>
    </w:r>
  </w:p>
  <w:p w:rsidR="00786E36" w:rsidRPr="009700AA" w:rsidRDefault="00786E36" w:rsidP="000D17EC">
    <w:pPr>
      <w:tabs>
        <w:tab w:val="left" w:pos="7200"/>
      </w:tabs>
      <w:ind w:left="6480"/>
      <w:rPr>
        <w:b/>
        <w:szCs w:val="22"/>
      </w:rPr>
    </w:pPr>
    <w:r>
      <w:rPr>
        <w:b/>
        <w:szCs w:val="22"/>
      </w:rPr>
      <w:tab/>
    </w:r>
  </w:p>
  <w:p w:rsidR="00786E36" w:rsidRPr="009700AA" w:rsidRDefault="00786E36" w:rsidP="00022907">
    <w:pPr>
      <w:rPr>
        <w:szCs w:val="22"/>
      </w:rPr>
    </w:pPr>
  </w:p>
  <w:p w:rsidR="00786E36" w:rsidRPr="00BD0124" w:rsidRDefault="00786E36" w:rsidP="0002290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894" w:rsidRPr="006775E6" w:rsidRDefault="00206894" w:rsidP="00206894">
    <w:pPr>
      <w:tabs>
        <w:tab w:val="left" w:pos="7200"/>
        <w:tab w:val="right" w:pos="9000"/>
      </w:tabs>
      <w:ind w:left="6480" w:right="-360" w:firstLine="450"/>
      <w:rPr>
        <w:b/>
        <w:szCs w:val="22"/>
      </w:rPr>
    </w:pPr>
    <w:r>
      <w:rPr>
        <w:bCs/>
        <w:caps/>
        <w:szCs w:val="22"/>
      </w:rPr>
      <w:tab/>
    </w:r>
    <w:r w:rsidRPr="006775E6">
      <w:rPr>
        <w:b/>
        <w:bCs/>
        <w:szCs w:val="22"/>
      </w:rPr>
      <w:t>Jeffry Pollock</w:t>
    </w:r>
  </w:p>
  <w:p w:rsidR="00206894" w:rsidRDefault="0094562D" w:rsidP="00206894">
    <w:pPr>
      <w:tabs>
        <w:tab w:val="left" w:pos="7200"/>
      </w:tabs>
      <w:ind w:left="6480" w:hanging="7020"/>
      <w:rPr>
        <w:b/>
        <w:szCs w:val="22"/>
      </w:rPr>
    </w:pPr>
    <w:r>
      <w:rPr>
        <w:b/>
        <w:szCs w:val="22"/>
      </w:rPr>
      <w:t>PUBLIC DISCLOSURE</w:t>
    </w:r>
    <w:r w:rsidR="00206894">
      <w:rPr>
        <w:b/>
        <w:szCs w:val="22"/>
      </w:rPr>
      <w:tab/>
    </w:r>
    <w:r w:rsidR="00206894">
      <w:rPr>
        <w:b/>
        <w:szCs w:val="22"/>
      </w:rPr>
      <w:tab/>
      <w:t xml:space="preserve">Page </w:t>
    </w:r>
    <w:r w:rsidR="00206894" w:rsidRPr="00FA5E21">
      <w:rPr>
        <w:b/>
        <w:szCs w:val="22"/>
      </w:rPr>
      <w:fldChar w:fldCharType="begin"/>
    </w:r>
    <w:r w:rsidR="00206894" w:rsidRPr="00FA5E21">
      <w:rPr>
        <w:b/>
        <w:szCs w:val="22"/>
      </w:rPr>
      <w:instrText xml:space="preserve"> PAGE   \* MERGEFORMAT </w:instrText>
    </w:r>
    <w:r w:rsidR="00206894" w:rsidRPr="00FA5E21">
      <w:rPr>
        <w:b/>
        <w:szCs w:val="22"/>
      </w:rPr>
      <w:fldChar w:fldCharType="separate"/>
    </w:r>
    <w:r>
      <w:rPr>
        <w:b/>
        <w:noProof/>
        <w:szCs w:val="22"/>
      </w:rPr>
      <w:t>7</w:t>
    </w:r>
    <w:r w:rsidR="00206894" w:rsidRPr="00FA5E21">
      <w:rPr>
        <w:b/>
        <w:szCs w:val="22"/>
      </w:rPr>
      <w:fldChar w:fldCharType="end"/>
    </w:r>
  </w:p>
  <w:p w:rsidR="00206894" w:rsidRPr="009700AA" w:rsidRDefault="00206894" w:rsidP="000D17EC">
    <w:pPr>
      <w:tabs>
        <w:tab w:val="left" w:pos="7200"/>
      </w:tabs>
      <w:ind w:left="6480"/>
      <w:rPr>
        <w:b/>
        <w:szCs w:val="22"/>
      </w:rPr>
    </w:pPr>
    <w:r>
      <w:rPr>
        <w:b/>
        <w:szCs w:val="22"/>
      </w:rPr>
      <w:tab/>
    </w:r>
  </w:p>
  <w:p w:rsidR="00206894" w:rsidRPr="009700AA" w:rsidRDefault="00206894" w:rsidP="00022907">
    <w:pPr>
      <w:rPr>
        <w:szCs w:val="22"/>
      </w:rPr>
    </w:pPr>
  </w:p>
  <w:p w:rsidR="00206894" w:rsidRPr="00BD0124" w:rsidRDefault="00206894" w:rsidP="000229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894" w:rsidRPr="006775E6" w:rsidRDefault="00206894" w:rsidP="000D17EC">
    <w:pPr>
      <w:tabs>
        <w:tab w:val="left" w:pos="7200"/>
        <w:tab w:val="right" w:pos="9000"/>
      </w:tabs>
      <w:ind w:left="6480" w:right="-360"/>
      <w:rPr>
        <w:b/>
        <w:szCs w:val="22"/>
      </w:rPr>
    </w:pPr>
    <w:r>
      <w:rPr>
        <w:bCs/>
        <w:caps/>
        <w:szCs w:val="22"/>
      </w:rPr>
      <w:tab/>
    </w:r>
    <w:r w:rsidRPr="006775E6">
      <w:rPr>
        <w:b/>
        <w:bCs/>
        <w:szCs w:val="22"/>
      </w:rPr>
      <w:t>Jeffry Pollock</w:t>
    </w:r>
  </w:p>
  <w:p w:rsidR="00206894" w:rsidRDefault="00206894" w:rsidP="000D17EC">
    <w:pPr>
      <w:tabs>
        <w:tab w:val="left" w:pos="7200"/>
      </w:tabs>
      <w:ind w:left="6480"/>
      <w:rPr>
        <w:b/>
        <w:szCs w:val="22"/>
      </w:rPr>
    </w:pPr>
    <w:r>
      <w:rPr>
        <w:b/>
        <w:szCs w:val="22"/>
      </w:rPr>
      <w:tab/>
      <w:t xml:space="preserve">Page </w:t>
    </w:r>
    <w:r w:rsidRPr="00FA5E21">
      <w:rPr>
        <w:b/>
        <w:szCs w:val="22"/>
      </w:rPr>
      <w:fldChar w:fldCharType="begin"/>
    </w:r>
    <w:r w:rsidRPr="00FA5E21">
      <w:rPr>
        <w:b/>
        <w:szCs w:val="22"/>
      </w:rPr>
      <w:instrText xml:space="preserve"> PAGE   \* MERGEFORMAT </w:instrText>
    </w:r>
    <w:r w:rsidRPr="00FA5E21">
      <w:rPr>
        <w:b/>
        <w:szCs w:val="22"/>
      </w:rPr>
      <w:fldChar w:fldCharType="separate"/>
    </w:r>
    <w:r w:rsidR="0094562D">
      <w:rPr>
        <w:b/>
        <w:noProof/>
        <w:szCs w:val="22"/>
      </w:rPr>
      <w:t>15</w:t>
    </w:r>
    <w:r w:rsidRPr="00FA5E21">
      <w:rPr>
        <w:b/>
        <w:szCs w:val="22"/>
      </w:rPr>
      <w:fldChar w:fldCharType="end"/>
    </w:r>
  </w:p>
  <w:p w:rsidR="00206894" w:rsidRPr="009700AA" w:rsidRDefault="00206894" w:rsidP="000D17EC">
    <w:pPr>
      <w:tabs>
        <w:tab w:val="left" w:pos="7200"/>
      </w:tabs>
      <w:ind w:left="6480"/>
      <w:rPr>
        <w:b/>
        <w:szCs w:val="22"/>
      </w:rPr>
    </w:pPr>
    <w:r>
      <w:rPr>
        <w:b/>
        <w:szCs w:val="22"/>
      </w:rPr>
      <w:tab/>
    </w:r>
  </w:p>
  <w:p w:rsidR="00206894" w:rsidRPr="009700AA" w:rsidRDefault="00206894" w:rsidP="00022907">
    <w:pPr>
      <w:rPr>
        <w:szCs w:val="22"/>
      </w:rPr>
    </w:pPr>
  </w:p>
  <w:p w:rsidR="00206894" w:rsidRPr="00BD0124" w:rsidRDefault="00206894" w:rsidP="000229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4EC39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100535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CD6AD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B00143E"/>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35EC08C4"/>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37E95D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94F04AFC"/>
    <w:lvl w:ilvl="0">
      <w:start w:val="1"/>
      <w:numFmt w:val="decimal"/>
      <w:lvlText w:val="%1."/>
      <w:lvlJc w:val="left"/>
      <w:pPr>
        <w:tabs>
          <w:tab w:val="num" w:pos="360"/>
        </w:tabs>
        <w:ind w:left="360" w:hanging="360"/>
      </w:pPr>
      <w:rPr>
        <w:rFonts w:cs="Times New Roman"/>
      </w:rPr>
    </w:lvl>
  </w:abstractNum>
  <w:abstractNum w:abstractNumId="7" w15:restartNumberingAfterBreak="0">
    <w:nsid w:val="0D082E30"/>
    <w:multiLevelType w:val="hybridMultilevel"/>
    <w:tmpl w:val="351C0500"/>
    <w:lvl w:ilvl="0" w:tplc="4290F386">
      <w:start w:val="1"/>
      <w:numFmt w:val="decimal"/>
      <w:pStyle w:val="ListNumb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153660F0"/>
    <w:multiLevelType w:val="multilevel"/>
    <w:tmpl w:val="367C8D24"/>
    <w:name w:val="zzmpArticle5||Article5|2|1|1|5|10|41||1|12|1||1|12|1||1|12|1||1|12|0||1|12|0||1|12|0||1|12|0||mpNA||"/>
    <w:lvl w:ilvl="0">
      <w:start w:val="1"/>
      <w:numFmt w:val="decimal"/>
      <w:pStyle w:val="Article5L1"/>
      <w:suff w:val="space"/>
      <w:lvlText w:val="SECTION %1 "/>
      <w:lvlJc w:val="left"/>
      <w:pPr>
        <w:ind w:left="0" w:firstLine="0"/>
      </w:pPr>
      <w:rPr>
        <w:b/>
        <w:i w:val="0"/>
        <w:caps/>
        <w:smallCaps w:val="0"/>
        <w:strike w:val="0"/>
        <w:dstrike w:val="0"/>
        <w:u w:val="none"/>
        <w:effect w:val="none"/>
      </w:rPr>
    </w:lvl>
    <w:lvl w:ilvl="1">
      <w:start w:val="1"/>
      <w:numFmt w:val="decimal"/>
      <w:pStyle w:val="Article5L2"/>
      <w:isLgl/>
      <w:lvlText w:val="%1.%2"/>
      <w:lvlJc w:val="left"/>
      <w:pPr>
        <w:tabs>
          <w:tab w:val="num" w:pos="720"/>
        </w:tabs>
        <w:ind w:left="720" w:hanging="720"/>
      </w:pPr>
      <w:rPr>
        <w:b/>
        <w:i w:val="0"/>
        <w:caps w:val="0"/>
        <w:smallCaps w:val="0"/>
        <w:strike w:val="0"/>
        <w:dstrike w:val="0"/>
        <w:u w:val="none"/>
        <w:effect w:val="none"/>
      </w:rPr>
    </w:lvl>
    <w:lvl w:ilvl="2">
      <w:start w:val="1"/>
      <w:numFmt w:val="decimal"/>
      <w:pStyle w:val="Article5L3"/>
      <w:isLgl/>
      <w:lvlText w:val="%1.%2.%3"/>
      <w:lvlJc w:val="left"/>
      <w:pPr>
        <w:tabs>
          <w:tab w:val="num" w:pos="1440"/>
        </w:tabs>
        <w:ind w:left="1440" w:hanging="720"/>
      </w:pPr>
      <w:rPr>
        <w:b/>
        <w:i w:val="0"/>
        <w:caps w:val="0"/>
        <w:smallCaps w:val="0"/>
        <w:strike w:val="0"/>
        <w:dstrike w:val="0"/>
        <w:u w:val="none"/>
        <w:effect w:val="none"/>
      </w:rPr>
    </w:lvl>
    <w:lvl w:ilvl="3">
      <w:start w:val="1"/>
      <w:numFmt w:val="decimal"/>
      <w:pStyle w:val="Article5L4"/>
      <w:isLgl/>
      <w:lvlText w:val="%1.%2.%3.%4"/>
      <w:lvlJc w:val="left"/>
      <w:pPr>
        <w:tabs>
          <w:tab w:val="num" w:pos="2448"/>
        </w:tabs>
        <w:ind w:left="0" w:firstLine="1440"/>
      </w:pPr>
      <w:rPr>
        <w:b/>
        <w:i w:val="0"/>
        <w:caps w:val="0"/>
        <w:smallCaps w:val="0"/>
        <w:strike w:val="0"/>
        <w:dstrike w:val="0"/>
        <w:u w:val="none"/>
        <w:effect w:val="none"/>
      </w:rPr>
    </w:lvl>
    <w:lvl w:ilvl="4">
      <w:start w:val="1"/>
      <w:numFmt w:val="decimal"/>
      <w:pStyle w:val="Article5L5"/>
      <w:isLgl/>
      <w:lvlText w:val="%1.%2.%3.%4.%5"/>
      <w:lvlJc w:val="left"/>
      <w:pPr>
        <w:tabs>
          <w:tab w:val="num" w:pos="4320"/>
        </w:tabs>
        <w:ind w:left="0" w:firstLine="3168"/>
      </w:pPr>
      <w:rPr>
        <w:b w:val="0"/>
        <w:i w:val="0"/>
        <w:caps w:val="0"/>
        <w:smallCaps w:val="0"/>
        <w:strike w:val="0"/>
        <w:dstrike w:val="0"/>
        <w:u w:val="none"/>
        <w:effect w:val="none"/>
      </w:rPr>
    </w:lvl>
    <w:lvl w:ilvl="5">
      <w:start w:val="1"/>
      <w:numFmt w:val="lowerLetter"/>
      <w:pStyle w:val="Article5L6"/>
      <w:lvlText w:val="(%6)"/>
      <w:lvlJc w:val="left"/>
      <w:pPr>
        <w:tabs>
          <w:tab w:val="num" w:pos="5040"/>
        </w:tabs>
        <w:ind w:left="0" w:firstLine="4320"/>
      </w:pPr>
      <w:rPr>
        <w:b w:val="0"/>
        <w:i w:val="0"/>
        <w:caps w:val="0"/>
        <w:smallCaps w:val="0"/>
        <w:strike w:val="0"/>
        <w:dstrike w:val="0"/>
        <w:u w:val="none"/>
        <w:effect w:val="none"/>
      </w:rPr>
    </w:lvl>
    <w:lvl w:ilvl="6">
      <w:start w:val="1"/>
      <w:numFmt w:val="lowerRoman"/>
      <w:pStyle w:val="Article5L7"/>
      <w:lvlText w:val="(%7)"/>
      <w:lvlJc w:val="left"/>
      <w:pPr>
        <w:tabs>
          <w:tab w:val="num" w:pos="5760"/>
        </w:tabs>
        <w:ind w:left="0" w:firstLine="5040"/>
      </w:pPr>
      <w:rPr>
        <w:b w:val="0"/>
        <w:i w:val="0"/>
        <w:caps w:val="0"/>
        <w:smallCaps w:val="0"/>
        <w:strike w:val="0"/>
        <w:dstrike w:val="0"/>
        <w:u w:val="none"/>
        <w:effect w:val="none"/>
      </w:rPr>
    </w:lvl>
    <w:lvl w:ilvl="7">
      <w:start w:val="1"/>
      <w:numFmt w:val="decimal"/>
      <w:pStyle w:val="Article5L8"/>
      <w:lvlText w:val="(%8)"/>
      <w:lvlJc w:val="left"/>
      <w:pPr>
        <w:tabs>
          <w:tab w:val="num" w:pos="6480"/>
        </w:tabs>
        <w:ind w:left="0" w:firstLine="5760"/>
      </w:pPr>
      <w:rPr>
        <w:b w:val="0"/>
        <w:i w:val="0"/>
        <w:caps w:val="0"/>
        <w:smallCaps w:val="0"/>
        <w:strike w:val="0"/>
        <w:dstrike w:val="0"/>
        <w:u w:val="none"/>
        <w:effect w:val="none"/>
      </w:rPr>
    </w:lvl>
    <w:lvl w:ilvl="8">
      <w:start w:val="1"/>
      <w:numFmt w:val="none"/>
      <w:suff w:val="nothing"/>
      <w:lvlText w:val=""/>
      <w:lvlJc w:val="left"/>
      <w:pPr>
        <w:ind w:left="0" w:firstLine="0"/>
      </w:pPr>
      <w:rPr>
        <w:b w:val="0"/>
        <w:i w:val="0"/>
        <w:caps w:val="0"/>
        <w:smallCaps w:val="0"/>
        <w:strike w:val="0"/>
        <w:dstrike w:val="0"/>
        <w:u w:val="none"/>
        <w:effect w:val="none"/>
      </w:rPr>
    </w:lvl>
  </w:abstractNum>
  <w:abstractNum w:abstractNumId="9" w15:restartNumberingAfterBreak="0">
    <w:nsid w:val="163B0FFD"/>
    <w:multiLevelType w:val="hybridMultilevel"/>
    <w:tmpl w:val="32D0B900"/>
    <w:lvl w:ilvl="0" w:tplc="DEC48CA0">
      <w:start w:val="1"/>
      <w:numFmt w:val="bullet"/>
      <w:pStyle w:val="List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18E94A8F"/>
    <w:multiLevelType w:val="hybridMultilevel"/>
    <w:tmpl w:val="E4B80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B622EE"/>
    <w:multiLevelType w:val="multilevel"/>
    <w:tmpl w:val="C2FCECE2"/>
    <w:lvl w:ilvl="0">
      <w:start w:val="1"/>
      <w:numFmt w:val="decimal"/>
      <w:lvlText w:val="%1."/>
      <w:lvlJc w:val="left"/>
      <w:pPr>
        <w:tabs>
          <w:tab w:val="num" w:pos="2430"/>
        </w:tabs>
        <w:ind w:left="3150" w:hanging="720"/>
      </w:pPr>
      <w:rPr>
        <w:rFonts w:hint="default"/>
        <w:u w:val="none"/>
      </w:rPr>
    </w:lvl>
    <w:lvl w:ilvl="1">
      <w:start w:val="1"/>
      <w:numFmt w:val="lowerLetter"/>
      <w:lvlText w:val="(%2)"/>
      <w:lvlJc w:val="left"/>
      <w:pPr>
        <w:tabs>
          <w:tab w:val="num" w:pos="0"/>
        </w:tabs>
        <w:ind w:left="1440" w:hanging="720"/>
      </w:pPr>
      <w:rPr>
        <w:rFonts w:hint="default"/>
        <w:u w:val="none"/>
      </w:rPr>
    </w:lvl>
    <w:lvl w:ilvl="2">
      <w:start w:val="1"/>
      <w:numFmt w:val="lowerRoman"/>
      <w:lvlText w:val="(%3)"/>
      <w:lvlJc w:val="left"/>
      <w:pPr>
        <w:tabs>
          <w:tab w:val="num" w:pos="0"/>
        </w:tabs>
        <w:ind w:left="2160" w:hanging="720"/>
      </w:pPr>
      <w:rPr>
        <w:rFonts w:hint="default"/>
        <w:u w:val="none"/>
      </w:rPr>
    </w:lvl>
    <w:lvl w:ilvl="3">
      <w:start w:val="1"/>
      <w:numFmt w:val="upperLetter"/>
      <w:lvlText w:val="%4."/>
      <w:lvlJc w:val="left"/>
      <w:pPr>
        <w:tabs>
          <w:tab w:val="num" w:pos="0"/>
        </w:tabs>
        <w:ind w:left="2880" w:hanging="720"/>
      </w:pPr>
      <w:rPr>
        <w:rFonts w:hint="default"/>
        <w:u w:val="none"/>
      </w:rPr>
    </w:lvl>
    <w:lvl w:ilvl="4">
      <w:start w:val="1"/>
      <w:numFmt w:val="decimal"/>
      <w:pStyle w:val="Heading5"/>
      <w:lvlText w:val="(%5)"/>
      <w:lvlJc w:val="left"/>
      <w:pPr>
        <w:tabs>
          <w:tab w:val="num" w:pos="0"/>
        </w:tabs>
        <w:ind w:left="3600" w:hanging="720"/>
      </w:pPr>
      <w:rPr>
        <w:rFonts w:hint="default"/>
        <w:u w:val="none"/>
      </w:rPr>
    </w:lvl>
    <w:lvl w:ilvl="5">
      <w:start w:val="1"/>
      <w:numFmt w:val="upperLetter"/>
      <w:pStyle w:val="Heading6"/>
      <w:lvlText w:val="(%6)"/>
      <w:lvlJc w:val="left"/>
      <w:pPr>
        <w:tabs>
          <w:tab w:val="num" w:pos="0"/>
        </w:tabs>
        <w:ind w:left="4320" w:hanging="720"/>
      </w:pPr>
      <w:rPr>
        <w:rFonts w:hint="default"/>
        <w:u w:val="none"/>
      </w:rPr>
    </w:lvl>
    <w:lvl w:ilvl="6">
      <w:start w:val="1"/>
      <w:numFmt w:val="decimal"/>
      <w:pStyle w:val="Heading7"/>
      <w:lvlText w:val="%7)"/>
      <w:lvlJc w:val="left"/>
      <w:pPr>
        <w:tabs>
          <w:tab w:val="num" w:pos="0"/>
        </w:tabs>
        <w:ind w:left="5040" w:hanging="720"/>
      </w:pPr>
      <w:rPr>
        <w:rFonts w:hint="default"/>
        <w:u w:val="none"/>
      </w:rPr>
    </w:lvl>
    <w:lvl w:ilvl="7">
      <w:start w:val="1"/>
      <w:numFmt w:val="lowerLetter"/>
      <w:pStyle w:val="Heading8"/>
      <w:lvlText w:val="%8)"/>
      <w:lvlJc w:val="left"/>
      <w:pPr>
        <w:tabs>
          <w:tab w:val="num" w:pos="0"/>
        </w:tabs>
        <w:ind w:left="5760" w:hanging="720"/>
      </w:pPr>
      <w:rPr>
        <w:rFonts w:hint="default"/>
        <w:u w:val="none"/>
      </w:rPr>
    </w:lvl>
    <w:lvl w:ilvl="8">
      <w:start w:val="1"/>
      <w:numFmt w:val="bullet"/>
      <w:pStyle w:val="Heading9"/>
      <w:lvlText w:val=""/>
      <w:lvlJc w:val="left"/>
      <w:pPr>
        <w:tabs>
          <w:tab w:val="num" w:pos="0"/>
        </w:tabs>
        <w:ind w:left="1440" w:hanging="720"/>
      </w:pPr>
      <w:rPr>
        <w:rFonts w:ascii="Symbol" w:hAnsi="Symbol" w:hint="default"/>
        <w:color w:val="auto"/>
        <w:u w:val="none"/>
      </w:rPr>
    </w:lvl>
  </w:abstractNum>
  <w:abstractNum w:abstractNumId="12" w15:restartNumberingAfterBreak="0">
    <w:nsid w:val="263A2E4C"/>
    <w:multiLevelType w:val="hybridMultilevel"/>
    <w:tmpl w:val="CC686D9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32274B19"/>
    <w:multiLevelType w:val="hybridMultilevel"/>
    <w:tmpl w:val="87FE80E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47EE30DC"/>
    <w:multiLevelType w:val="hybridMultilevel"/>
    <w:tmpl w:val="15E2EC06"/>
    <w:lvl w:ilvl="0" w:tplc="23AAA32C">
      <w:start w:val="1"/>
      <w:numFmt w:val="bullet"/>
      <w:pStyle w:val="Bullets"/>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EA72A8E"/>
    <w:multiLevelType w:val="hybridMultilevel"/>
    <w:tmpl w:val="AD7041C6"/>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6041781B"/>
    <w:multiLevelType w:val="multilevel"/>
    <w:tmpl w:val="C9D8209E"/>
    <w:lvl w:ilvl="0">
      <w:start w:val="1"/>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3AD7F0A"/>
    <w:multiLevelType w:val="hybridMultilevel"/>
    <w:tmpl w:val="E8908E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1"/>
  </w:num>
  <w:num w:numId="2">
    <w:abstractNumId w:val="3"/>
  </w:num>
  <w:num w:numId="3">
    <w:abstractNumId w:val="2"/>
  </w:num>
  <w:num w:numId="4">
    <w:abstractNumId w:val="1"/>
  </w:num>
  <w:num w:numId="5">
    <w:abstractNumId w:val="0"/>
  </w:num>
  <w:num w:numId="6">
    <w:abstractNumId w:val="5"/>
  </w:num>
  <w:num w:numId="7">
    <w:abstractNumId w:val="4"/>
  </w:num>
  <w:num w:numId="8">
    <w:abstractNumId w:val="14"/>
  </w:num>
  <w:num w:numId="9">
    <w:abstractNumId w:val="10"/>
  </w:num>
  <w:num w:numId="10">
    <w:abstractNumId w:val="7"/>
  </w:num>
  <w:num w:numId="11">
    <w:abstractNumId w:val="9"/>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2"/>
  </w:num>
  <w:num w:numId="15">
    <w:abstractNumId w:val="17"/>
  </w:num>
  <w:num w:numId="16">
    <w:abstractNumId w:val="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39617"/>
  </w:hdrShapeDefaults>
  <w:footnotePr>
    <w:footnote w:id="-1"/>
    <w:footnote w:id="0"/>
    <w:footnote w:id="1"/>
  </w:footnotePr>
  <w:endnotePr>
    <w:endnote w:id="-1"/>
    <w:endnote w:id="0"/>
  </w:endnotePr>
  <w:compat>
    <w:compatSetting w:name="compatibilityMode" w:uri="http://schemas.microsoft.com/office/word" w:val="12"/>
  </w:compat>
  <w:rsids>
    <w:rsidRoot w:val="003E5918"/>
    <w:rsid w:val="00000611"/>
    <w:rsid w:val="000007D2"/>
    <w:rsid w:val="0000102F"/>
    <w:rsid w:val="0000144C"/>
    <w:rsid w:val="00001DCA"/>
    <w:rsid w:val="00001FC2"/>
    <w:rsid w:val="000025AB"/>
    <w:rsid w:val="00002A93"/>
    <w:rsid w:val="00003774"/>
    <w:rsid w:val="00004B41"/>
    <w:rsid w:val="00004DC1"/>
    <w:rsid w:val="000062F4"/>
    <w:rsid w:val="000079E2"/>
    <w:rsid w:val="00011996"/>
    <w:rsid w:val="00011F1C"/>
    <w:rsid w:val="00011F51"/>
    <w:rsid w:val="0001238D"/>
    <w:rsid w:val="000123AD"/>
    <w:rsid w:val="00012BB1"/>
    <w:rsid w:val="00013C51"/>
    <w:rsid w:val="00014240"/>
    <w:rsid w:val="0001448D"/>
    <w:rsid w:val="000150C7"/>
    <w:rsid w:val="00016AEB"/>
    <w:rsid w:val="00016ED1"/>
    <w:rsid w:val="000174B4"/>
    <w:rsid w:val="000176DB"/>
    <w:rsid w:val="00017935"/>
    <w:rsid w:val="00020224"/>
    <w:rsid w:val="0002028D"/>
    <w:rsid w:val="000202D0"/>
    <w:rsid w:val="00020796"/>
    <w:rsid w:val="00021197"/>
    <w:rsid w:val="00021437"/>
    <w:rsid w:val="000215DA"/>
    <w:rsid w:val="00021E07"/>
    <w:rsid w:val="00022907"/>
    <w:rsid w:val="00022DB6"/>
    <w:rsid w:val="00023684"/>
    <w:rsid w:val="0002378F"/>
    <w:rsid w:val="0002392B"/>
    <w:rsid w:val="00023FDD"/>
    <w:rsid w:val="00024E01"/>
    <w:rsid w:val="00024F2C"/>
    <w:rsid w:val="00024F5F"/>
    <w:rsid w:val="00025D74"/>
    <w:rsid w:val="00026658"/>
    <w:rsid w:val="0002746E"/>
    <w:rsid w:val="00027984"/>
    <w:rsid w:val="00027B0D"/>
    <w:rsid w:val="00030048"/>
    <w:rsid w:val="00030A72"/>
    <w:rsid w:val="00030E58"/>
    <w:rsid w:val="00031538"/>
    <w:rsid w:val="00031B88"/>
    <w:rsid w:val="00032579"/>
    <w:rsid w:val="00032B78"/>
    <w:rsid w:val="00032D5D"/>
    <w:rsid w:val="000337D2"/>
    <w:rsid w:val="000345E8"/>
    <w:rsid w:val="000345F9"/>
    <w:rsid w:val="000348D5"/>
    <w:rsid w:val="0003628D"/>
    <w:rsid w:val="000366D6"/>
    <w:rsid w:val="00036936"/>
    <w:rsid w:val="00036ED5"/>
    <w:rsid w:val="00036F0D"/>
    <w:rsid w:val="00040054"/>
    <w:rsid w:val="00040156"/>
    <w:rsid w:val="00040C67"/>
    <w:rsid w:val="0004154E"/>
    <w:rsid w:val="00041C9E"/>
    <w:rsid w:val="000430C2"/>
    <w:rsid w:val="0004312A"/>
    <w:rsid w:val="00043F27"/>
    <w:rsid w:val="000443A9"/>
    <w:rsid w:val="00046129"/>
    <w:rsid w:val="000464AE"/>
    <w:rsid w:val="0004673B"/>
    <w:rsid w:val="00046FF1"/>
    <w:rsid w:val="00052FCC"/>
    <w:rsid w:val="000530FC"/>
    <w:rsid w:val="000539A4"/>
    <w:rsid w:val="00054F7E"/>
    <w:rsid w:val="00054FFE"/>
    <w:rsid w:val="00055345"/>
    <w:rsid w:val="00055797"/>
    <w:rsid w:val="0005599B"/>
    <w:rsid w:val="00055E9E"/>
    <w:rsid w:val="00056379"/>
    <w:rsid w:val="0005656E"/>
    <w:rsid w:val="00056BD1"/>
    <w:rsid w:val="00057020"/>
    <w:rsid w:val="000611D3"/>
    <w:rsid w:val="0006171F"/>
    <w:rsid w:val="00061819"/>
    <w:rsid w:val="000619DF"/>
    <w:rsid w:val="00061BB8"/>
    <w:rsid w:val="00062BC1"/>
    <w:rsid w:val="00063328"/>
    <w:rsid w:val="00063AD4"/>
    <w:rsid w:val="00064CF5"/>
    <w:rsid w:val="0006588E"/>
    <w:rsid w:val="000662B8"/>
    <w:rsid w:val="00066E9A"/>
    <w:rsid w:val="00067183"/>
    <w:rsid w:val="000673CE"/>
    <w:rsid w:val="000678EF"/>
    <w:rsid w:val="00070B60"/>
    <w:rsid w:val="00070E7E"/>
    <w:rsid w:val="00071635"/>
    <w:rsid w:val="00071669"/>
    <w:rsid w:val="00071DA6"/>
    <w:rsid w:val="000720DA"/>
    <w:rsid w:val="0007335A"/>
    <w:rsid w:val="00073BCC"/>
    <w:rsid w:val="00073CBA"/>
    <w:rsid w:val="000750A0"/>
    <w:rsid w:val="00075199"/>
    <w:rsid w:val="0007629D"/>
    <w:rsid w:val="00076B6C"/>
    <w:rsid w:val="00076F48"/>
    <w:rsid w:val="00077D22"/>
    <w:rsid w:val="00077D53"/>
    <w:rsid w:val="00080837"/>
    <w:rsid w:val="00080884"/>
    <w:rsid w:val="000811AC"/>
    <w:rsid w:val="000812C0"/>
    <w:rsid w:val="000812DD"/>
    <w:rsid w:val="00081A00"/>
    <w:rsid w:val="000829EF"/>
    <w:rsid w:val="00082FD6"/>
    <w:rsid w:val="00083E5F"/>
    <w:rsid w:val="00083E8E"/>
    <w:rsid w:val="0008551A"/>
    <w:rsid w:val="00085BE2"/>
    <w:rsid w:val="00085EEC"/>
    <w:rsid w:val="0008613E"/>
    <w:rsid w:val="00086ACD"/>
    <w:rsid w:val="00086E6D"/>
    <w:rsid w:val="0008789B"/>
    <w:rsid w:val="00087B47"/>
    <w:rsid w:val="0009078F"/>
    <w:rsid w:val="00090850"/>
    <w:rsid w:val="00090AF5"/>
    <w:rsid w:val="00091A25"/>
    <w:rsid w:val="0009228B"/>
    <w:rsid w:val="00092611"/>
    <w:rsid w:val="00092851"/>
    <w:rsid w:val="00092A7B"/>
    <w:rsid w:val="00092B79"/>
    <w:rsid w:val="00092DCD"/>
    <w:rsid w:val="00092F6A"/>
    <w:rsid w:val="000930D3"/>
    <w:rsid w:val="00094462"/>
    <w:rsid w:val="000946C5"/>
    <w:rsid w:val="00095D74"/>
    <w:rsid w:val="0009671D"/>
    <w:rsid w:val="00096780"/>
    <w:rsid w:val="00096AB0"/>
    <w:rsid w:val="000977DE"/>
    <w:rsid w:val="0009785E"/>
    <w:rsid w:val="000A07F7"/>
    <w:rsid w:val="000A0AC6"/>
    <w:rsid w:val="000A0CCE"/>
    <w:rsid w:val="000A1F7B"/>
    <w:rsid w:val="000A2131"/>
    <w:rsid w:val="000A2664"/>
    <w:rsid w:val="000A26A4"/>
    <w:rsid w:val="000A38DA"/>
    <w:rsid w:val="000A3B7B"/>
    <w:rsid w:val="000A4A08"/>
    <w:rsid w:val="000A5374"/>
    <w:rsid w:val="000A55C5"/>
    <w:rsid w:val="000A5A73"/>
    <w:rsid w:val="000A7C24"/>
    <w:rsid w:val="000B06A6"/>
    <w:rsid w:val="000B0B69"/>
    <w:rsid w:val="000B1C6B"/>
    <w:rsid w:val="000B264B"/>
    <w:rsid w:val="000B2AB9"/>
    <w:rsid w:val="000B3B9B"/>
    <w:rsid w:val="000B43EF"/>
    <w:rsid w:val="000B5B02"/>
    <w:rsid w:val="000B5B94"/>
    <w:rsid w:val="000B5DAD"/>
    <w:rsid w:val="000B62BA"/>
    <w:rsid w:val="000B642D"/>
    <w:rsid w:val="000B6AC1"/>
    <w:rsid w:val="000B6E96"/>
    <w:rsid w:val="000C0085"/>
    <w:rsid w:val="000C11D4"/>
    <w:rsid w:val="000C12C1"/>
    <w:rsid w:val="000C2695"/>
    <w:rsid w:val="000C2901"/>
    <w:rsid w:val="000C3167"/>
    <w:rsid w:val="000C357E"/>
    <w:rsid w:val="000C3D65"/>
    <w:rsid w:val="000C3DA5"/>
    <w:rsid w:val="000C4705"/>
    <w:rsid w:val="000C47A3"/>
    <w:rsid w:val="000C4964"/>
    <w:rsid w:val="000C546C"/>
    <w:rsid w:val="000C5C22"/>
    <w:rsid w:val="000C5FE3"/>
    <w:rsid w:val="000C6473"/>
    <w:rsid w:val="000C6744"/>
    <w:rsid w:val="000C677F"/>
    <w:rsid w:val="000C71BE"/>
    <w:rsid w:val="000C7226"/>
    <w:rsid w:val="000C76CB"/>
    <w:rsid w:val="000D017E"/>
    <w:rsid w:val="000D0779"/>
    <w:rsid w:val="000D0930"/>
    <w:rsid w:val="000D1524"/>
    <w:rsid w:val="000D1696"/>
    <w:rsid w:val="000D17EC"/>
    <w:rsid w:val="000D1805"/>
    <w:rsid w:val="000D3670"/>
    <w:rsid w:val="000D4A29"/>
    <w:rsid w:val="000D4BAB"/>
    <w:rsid w:val="000D59C3"/>
    <w:rsid w:val="000D5F75"/>
    <w:rsid w:val="000D62EF"/>
    <w:rsid w:val="000D68D8"/>
    <w:rsid w:val="000D7A19"/>
    <w:rsid w:val="000E10EE"/>
    <w:rsid w:val="000E2C54"/>
    <w:rsid w:val="000E3BDF"/>
    <w:rsid w:val="000E458B"/>
    <w:rsid w:val="000E490F"/>
    <w:rsid w:val="000E4EEE"/>
    <w:rsid w:val="000E5DC0"/>
    <w:rsid w:val="000E6417"/>
    <w:rsid w:val="000E65F7"/>
    <w:rsid w:val="000E6FFF"/>
    <w:rsid w:val="000E756B"/>
    <w:rsid w:val="000E75AB"/>
    <w:rsid w:val="000E7837"/>
    <w:rsid w:val="000E7EA5"/>
    <w:rsid w:val="000F00E3"/>
    <w:rsid w:val="000F0DF4"/>
    <w:rsid w:val="000F0E95"/>
    <w:rsid w:val="000F1A59"/>
    <w:rsid w:val="000F1C64"/>
    <w:rsid w:val="000F210A"/>
    <w:rsid w:val="000F2A3D"/>
    <w:rsid w:val="000F3EF4"/>
    <w:rsid w:val="000F57C7"/>
    <w:rsid w:val="000F5B77"/>
    <w:rsid w:val="000F6382"/>
    <w:rsid w:val="000F6DD7"/>
    <w:rsid w:val="000F77B6"/>
    <w:rsid w:val="00101BED"/>
    <w:rsid w:val="00102C71"/>
    <w:rsid w:val="00102CBB"/>
    <w:rsid w:val="001032F3"/>
    <w:rsid w:val="00103E91"/>
    <w:rsid w:val="00104A14"/>
    <w:rsid w:val="0010514D"/>
    <w:rsid w:val="001058D9"/>
    <w:rsid w:val="001059A6"/>
    <w:rsid w:val="00105EA9"/>
    <w:rsid w:val="0010608F"/>
    <w:rsid w:val="00106AE8"/>
    <w:rsid w:val="00106ECC"/>
    <w:rsid w:val="00107DF9"/>
    <w:rsid w:val="0011051A"/>
    <w:rsid w:val="00110555"/>
    <w:rsid w:val="001108D5"/>
    <w:rsid w:val="001110BB"/>
    <w:rsid w:val="00111E07"/>
    <w:rsid w:val="001126F1"/>
    <w:rsid w:val="00112867"/>
    <w:rsid w:val="00112ACA"/>
    <w:rsid w:val="00112BF6"/>
    <w:rsid w:val="00113737"/>
    <w:rsid w:val="00114DE1"/>
    <w:rsid w:val="00115691"/>
    <w:rsid w:val="00115C43"/>
    <w:rsid w:val="00115CE0"/>
    <w:rsid w:val="00115D7E"/>
    <w:rsid w:val="00116979"/>
    <w:rsid w:val="001170A9"/>
    <w:rsid w:val="00117366"/>
    <w:rsid w:val="00117B6B"/>
    <w:rsid w:val="00121EA3"/>
    <w:rsid w:val="00122AF3"/>
    <w:rsid w:val="00123227"/>
    <w:rsid w:val="00123352"/>
    <w:rsid w:val="0012367C"/>
    <w:rsid w:val="00123A24"/>
    <w:rsid w:val="00123B15"/>
    <w:rsid w:val="001240EA"/>
    <w:rsid w:val="00124C07"/>
    <w:rsid w:val="001251B0"/>
    <w:rsid w:val="00125AE5"/>
    <w:rsid w:val="00126078"/>
    <w:rsid w:val="00126118"/>
    <w:rsid w:val="001267E8"/>
    <w:rsid w:val="00127229"/>
    <w:rsid w:val="00127BD7"/>
    <w:rsid w:val="00130A4D"/>
    <w:rsid w:val="00132495"/>
    <w:rsid w:val="00133055"/>
    <w:rsid w:val="0013352D"/>
    <w:rsid w:val="00133CFF"/>
    <w:rsid w:val="00134086"/>
    <w:rsid w:val="001344A1"/>
    <w:rsid w:val="00134A6C"/>
    <w:rsid w:val="00135007"/>
    <w:rsid w:val="001355E8"/>
    <w:rsid w:val="001356C5"/>
    <w:rsid w:val="00135BE1"/>
    <w:rsid w:val="00136390"/>
    <w:rsid w:val="0013652D"/>
    <w:rsid w:val="00137161"/>
    <w:rsid w:val="00137EA5"/>
    <w:rsid w:val="00141862"/>
    <w:rsid w:val="00142407"/>
    <w:rsid w:val="001426DA"/>
    <w:rsid w:val="001428F9"/>
    <w:rsid w:val="0014355D"/>
    <w:rsid w:val="00143B25"/>
    <w:rsid w:val="0014413A"/>
    <w:rsid w:val="001451DD"/>
    <w:rsid w:val="00145627"/>
    <w:rsid w:val="00145781"/>
    <w:rsid w:val="00145EB6"/>
    <w:rsid w:val="0014683B"/>
    <w:rsid w:val="001505DE"/>
    <w:rsid w:val="001508B7"/>
    <w:rsid w:val="0015158A"/>
    <w:rsid w:val="00152DAB"/>
    <w:rsid w:val="00154062"/>
    <w:rsid w:val="00154148"/>
    <w:rsid w:val="00154E14"/>
    <w:rsid w:val="00155FB3"/>
    <w:rsid w:val="00156581"/>
    <w:rsid w:val="00156722"/>
    <w:rsid w:val="001573F9"/>
    <w:rsid w:val="00157AFF"/>
    <w:rsid w:val="00157DB3"/>
    <w:rsid w:val="00157E04"/>
    <w:rsid w:val="00160249"/>
    <w:rsid w:val="001605DE"/>
    <w:rsid w:val="001612FC"/>
    <w:rsid w:val="0016228B"/>
    <w:rsid w:val="001622E8"/>
    <w:rsid w:val="00162C41"/>
    <w:rsid w:val="0016322B"/>
    <w:rsid w:val="001636A0"/>
    <w:rsid w:val="00163BA2"/>
    <w:rsid w:val="0016482B"/>
    <w:rsid w:val="00166C85"/>
    <w:rsid w:val="00167537"/>
    <w:rsid w:val="0016792F"/>
    <w:rsid w:val="001709B4"/>
    <w:rsid w:val="00170BA2"/>
    <w:rsid w:val="001714BA"/>
    <w:rsid w:val="001717C6"/>
    <w:rsid w:val="00171A0D"/>
    <w:rsid w:val="00174854"/>
    <w:rsid w:val="00174A99"/>
    <w:rsid w:val="00175522"/>
    <w:rsid w:val="001755E1"/>
    <w:rsid w:val="001761D9"/>
    <w:rsid w:val="0017697F"/>
    <w:rsid w:val="001769DA"/>
    <w:rsid w:val="00177273"/>
    <w:rsid w:val="00177B07"/>
    <w:rsid w:val="00177C4B"/>
    <w:rsid w:val="00180FB4"/>
    <w:rsid w:val="0018238C"/>
    <w:rsid w:val="0018299B"/>
    <w:rsid w:val="00182C07"/>
    <w:rsid w:val="001832EB"/>
    <w:rsid w:val="00183320"/>
    <w:rsid w:val="00183C55"/>
    <w:rsid w:val="0018424F"/>
    <w:rsid w:val="0018560F"/>
    <w:rsid w:val="00185773"/>
    <w:rsid w:val="00185E08"/>
    <w:rsid w:val="00185E0C"/>
    <w:rsid w:val="00185F10"/>
    <w:rsid w:val="001862C6"/>
    <w:rsid w:val="00186AB2"/>
    <w:rsid w:val="00187103"/>
    <w:rsid w:val="00187782"/>
    <w:rsid w:val="0019028B"/>
    <w:rsid w:val="001909CF"/>
    <w:rsid w:val="001909FE"/>
    <w:rsid w:val="00190BC3"/>
    <w:rsid w:val="001912AE"/>
    <w:rsid w:val="00191708"/>
    <w:rsid w:val="0019250F"/>
    <w:rsid w:val="001928CD"/>
    <w:rsid w:val="0019389F"/>
    <w:rsid w:val="0019419C"/>
    <w:rsid w:val="001952ED"/>
    <w:rsid w:val="001957EE"/>
    <w:rsid w:val="00195C36"/>
    <w:rsid w:val="00197F52"/>
    <w:rsid w:val="001A01DB"/>
    <w:rsid w:val="001A1001"/>
    <w:rsid w:val="001A2380"/>
    <w:rsid w:val="001A2A32"/>
    <w:rsid w:val="001A2D27"/>
    <w:rsid w:val="001A37FB"/>
    <w:rsid w:val="001A4000"/>
    <w:rsid w:val="001A5342"/>
    <w:rsid w:val="001A53F7"/>
    <w:rsid w:val="001A60B6"/>
    <w:rsid w:val="001A60DF"/>
    <w:rsid w:val="001A6813"/>
    <w:rsid w:val="001A6AA7"/>
    <w:rsid w:val="001A73E1"/>
    <w:rsid w:val="001A7C0C"/>
    <w:rsid w:val="001A7D37"/>
    <w:rsid w:val="001B0C67"/>
    <w:rsid w:val="001B0D90"/>
    <w:rsid w:val="001B14A4"/>
    <w:rsid w:val="001B14C9"/>
    <w:rsid w:val="001B236D"/>
    <w:rsid w:val="001B2BD9"/>
    <w:rsid w:val="001B30EC"/>
    <w:rsid w:val="001B3463"/>
    <w:rsid w:val="001B3EE3"/>
    <w:rsid w:val="001B3F59"/>
    <w:rsid w:val="001B45B3"/>
    <w:rsid w:val="001B6BD3"/>
    <w:rsid w:val="001B74F8"/>
    <w:rsid w:val="001B7E06"/>
    <w:rsid w:val="001B7FD1"/>
    <w:rsid w:val="001C0160"/>
    <w:rsid w:val="001C06B0"/>
    <w:rsid w:val="001C08FE"/>
    <w:rsid w:val="001C124B"/>
    <w:rsid w:val="001C34A0"/>
    <w:rsid w:val="001C456F"/>
    <w:rsid w:val="001C4D80"/>
    <w:rsid w:val="001C5D80"/>
    <w:rsid w:val="001C5D9D"/>
    <w:rsid w:val="001C65A1"/>
    <w:rsid w:val="001C7E6D"/>
    <w:rsid w:val="001D0788"/>
    <w:rsid w:val="001D0DA0"/>
    <w:rsid w:val="001D1B17"/>
    <w:rsid w:val="001D2B3E"/>
    <w:rsid w:val="001D2EA2"/>
    <w:rsid w:val="001D3372"/>
    <w:rsid w:val="001D374D"/>
    <w:rsid w:val="001D4179"/>
    <w:rsid w:val="001D50C1"/>
    <w:rsid w:val="001D5A63"/>
    <w:rsid w:val="001D5C0C"/>
    <w:rsid w:val="001D5FF2"/>
    <w:rsid w:val="001D6F7E"/>
    <w:rsid w:val="001D71E4"/>
    <w:rsid w:val="001D7927"/>
    <w:rsid w:val="001D7EBF"/>
    <w:rsid w:val="001E049B"/>
    <w:rsid w:val="001E0E71"/>
    <w:rsid w:val="001E161A"/>
    <w:rsid w:val="001E22DE"/>
    <w:rsid w:val="001E3A88"/>
    <w:rsid w:val="001E4A95"/>
    <w:rsid w:val="001E5E1E"/>
    <w:rsid w:val="001F00EF"/>
    <w:rsid w:val="001F201E"/>
    <w:rsid w:val="001F2AC8"/>
    <w:rsid w:val="001F2EDE"/>
    <w:rsid w:val="001F37BC"/>
    <w:rsid w:val="001F3A0C"/>
    <w:rsid w:val="001F4AAF"/>
    <w:rsid w:val="001F4E2C"/>
    <w:rsid w:val="001F5181"/>
    <w:rsid w:val="001F593F"/>
    <w:rsid w:val="001F5C32"/>
    <w:rsid w:val="001F6C35"/>
    <w:rsid w:val="001F7447"/>
    <w:rsid w:val="001F7994"/>
    <w:rsid w:val="001F7AB7"/>
    <w:rsid w:val="001F7F3D"/>
    <w:rsid w:val="0020087F"/>
    <w:rsid w:val="002010D8"/>
    <w:rsid w:val="00201A8E"/>
    <w:rsid w:val="00201C6A"/>
    <w:rsid w:val="002023F7"/>
    <w:rsid w:val="00202469"/>
    <w:rsid w:val="0020302C"/>
    <w:rsid w:val="002033E3"/>
    <w:rsid w:val="00203962"/>
    <w:rsid w:val="00203BEE"/>
    <w:rsid w:val="00203DDF"/>
    <w:rsid w:val="00204370"/>
    <w:rsid w:val="00204C54"/>
    <w:rsid w:val="0020604B"/>
    <w:rsid w:val="00206472"/>
    <w:rsid w:val="00206894"/>
    <w:rsid w:val="00207870"/>
    <w:rsid w:val="00210182"/>
    <w:rsid w:val="0021078C"/>
    <w:rsid w:val="002114B0"/>
    <w:rsid w:val="002116C4"/>
    <w:rsid w:val="0021189D"/>
    <w:rsid w:val="00212078"/>
    <w:rsid w:val="0021308E"/>
    <w:rsid w:val="00213A8F"/>
    <w:rsid w:val="002140D9"/>
    <w:rsid w:val="00214399"/>
    <w:rsid w:val="002154EB"/>
    <w:rsid w:val="00215553"/>
    <w:rsid w:val="00215E15"/>
    <w:rsid w:val="00216363"/>
    <w:rsid w:val="002174F2"/>
    <w:rsid w:val="0022048F"/>
    <w:rsid w:val="00220D73"/>
    <w:rsid w:val="002239F8"/>
    <w:rsid w:val="00224CA6"/>
    <w:rsid w:val="00226AA8"/>
    <w:rsid w:val="0022749A"/>
    <w:rsid w:val="00227604"/>
    <w:rsid w:val="002276CC"/>
    <w:rsid w:val="00227CF6"/>
    <w:rsid w:val="00227F1F"/>
    <w:rsid w:val="00230082"/>
    <w:rsid w:val="0023089A"/>
    <w:rsid w:val="00230BBC"/>
    <w:rsid w:val="00232A11"/>
    <w:rsid w:val="00233494"/>
    <w:rsid w:val="002339D4"/>
    <w:rsid w:val="00233E25"/>
    <w:rsid w:val="002344EB"/>
    <w:rsid w:val="002345F0"/>
    <w:rsid w:val="00234724"/>
    <w:rsid w:val="00240042"/>
    <w:rsid w:val="00240C66"/>
    <w:rsid w:val="00240D96"/>
    <w:rsid w:val="00241618"/>
    <w:rsid w:val="00241B8F"/>
    <w:rsid w:val="00243109"/>
    <w:rsid w:val="002433A8"/>
    <w:rsid w:val="002435E9"/>
    <w:rsid w:val="00243F12"/>
    <w:rsid w:val="00244A04"/>
    <w:rsid w:val="00245480"/>
    <w:rsid w:val="00246160"/>
    <w:rsid w:val="00246811"/>
    <w:rsid w:val="00246E0A"/>
    <w:rsid w:val="00246E5B"/>
    <w:rsid w:val="00247CC1"/>
    <w:rsid w:val="0025138C"/>
    <w:rsid w:val="00252253"/>
    <w:rsid w:val="00253176"/>
    <w:rsid w:val="00254065"/>
    <w:rsid w:val="0025471A"/>
    <w:rsid w:val="00255DA2"/>
    <w:rsid w:val="00255DDD"/>
    <w:rsid w:val="00256A4B"/>
    <w:rsid w:val="00256DA3"/>
    <w:rsid w:val="0025753F"/>
    <w:rsid w:val="00257B4E"/>
    <w:rsid w:val="00257DF8"/>
    <w:rsid w:val="00261562"/>
    <w:rsid w:val="00261577"/>
    <w:rsid w:val="00262482"/>
    <w:rsid w:val="00262A97"/>
    <w:rsid w:val="00263652"/>
    <w:rsid w:val="00263F86"/>
    <w:rsid w:val="002651B1"/>
    <w:rsid w:val="002656DD"/>
    <w:rsid w:val="00265E62"/>
    <w:rsid w:val="00266254"/>
    <w:rsid w:val="002674F6"/>
    <w:rsid w:val="00267619"/>
    <w:rsid w:val="00267BE5"/>
    <w:rsid w:val="0027027C"/>
    <w:rsid w:val="002704CB"/>
    <w:rsid w:val="00270624"/>
    <w:rsid w:val="00270DAB"/>
    <w:rsid w:val="00273215"/>
    <w:rsid w:val="00273DF7"/>
    <w:rsid w:val="00274135"/>
    <w:rsid w:val="00274704"/>
    <w:rsid w:val="00274DD9"/>
    <w:rsid w:val="00274EAE"/>
    <w:rsid w:val="002751C2"/>
    <w:rsid w:val="002754EE"/>
    <w:rsid w:val="00275D03"/>
    <w:rsid w:val="00277790"/>
    <w:rsid w:val="002806AB"/>
    <w:rsid w:val="00281D06"/>
    <w:rsid w:val="00281E08"/>
    <w:rsid w:val="00282079"/>
    <w:rsid w:val="002830D5"/>
    <w:rsid w:val="00284614"/>
    <w:rsid w:val="00284E6B"/>
    <w:rsid w:val="00286454"/>
    <w:rsid w:val="00286828"/>
    <w:rsid w:val="00286CBA"/>
    <w:rsid w:val="00287280"/>
    <w:rsid w:val="002872EF"/>
    <w:rsid w:val="00287703"/>
    <w:rsid w:val="00290325"/>
    <w:rsid w:val="00290B48"/>
    <w:rsid w:val="00291605"/>
    <w:rsid w:val="002918E1"/>
    <w:rsid w:val="00291981"/>
    <w:rsid w:val="00292EDC"/>
    <w:rsid w:val="002930D2"/>
    <w:rsid w:val="00293CFA"/>
    <w:rsid w:val="0029529F"/>
    <w:rsid w:val="00295B00"/>
    <w:rsid w:val="00295DE8"/>
    <w:rsid w:val="002962E0"/>
    <w:rsid w:val="002968B5"/>
    <w:rsid w:val="00296BDE"/>
    <w:rsid w:val="002971D8"/>
    <w:rsid w:val="00297765"/>
    <w:rsid w:val="00297BB2"/>
    <w:rsid w:val="002A0780"/>
    <w:rsid w:val="002A3626"/>
    <w:rsid w:val="002A40CC"/>
    <w:rsid w:val="002A426B"/>
    <w:rsid w:val="002A559C"/>
    <w:rsid w:val="002A5ADA"/>
    <w:rsid w:val="002A6465"/>
    <w:rsid w:val="002A6AA1"/>
    <w:rsid w:val="002B1099"/>
    <w:rsid w:val="002B2607"/>
    <w:rsid w:val="002B26F4"/>
    <w:rsid w:val="002B2F93"/>
    <w:rsid w:val="002B2FA7"/>
    <w:rsid w:val="002B3362"/>
    <w:rsid w:val="002B3EE6"/>
    <w:rsid w:val="002B537E"/>
    <w:rsid w:val="002B5FC3"/>
    <w:rsid w:val="002B65C2"/>
    <w:rsid w:val="002B768E"/>
    <w:rsid w:val="002B79A0"/>
    <w:rsid w:val="002B7BC4"/>
    <w:rsid w:val="002B7C5D"/>
    <w:rsid w:val="002C190A"/>
    <w:rsid w:val="002C1966"/>
    <w:rsid w:val="002C19E4"/>
    <w:rsid w:val="002C1B78"/>
    <w:rsid w:val="002C1DF6"/>
    <w:rsid w:val="002C2014"/>
    <w:rsid w:val="002C2C3E"/>
    <w:rsid w:val="002C2E70"/>
    <w:rsid w:val="002C3046"/>
    <w:rsid w:val="002C30A0"/>
    <w:rsid w:val="002C3C5F"/>
    <w:rsid w:val="002C4178"/>
    <w:rsid w:val="002C46AB"/>
    <w:rsid w:val="002C5832"/>
    <w:rsid w:val="002C5D1E"/>
    <w:rsid w:val="002C6319"/>
    <w:rsid w:val="002D07A1"/>
    <w:rsid w:val="002D153B"/>
    <w:rsid w:val="002D2948"/>
    <w:rsid w:val="002D3C8A"/>
    <w:rsid w:val="002D4AF1"/>
    <w:rsid w:val="002D4AF6"/>
    <w:rsid w:val="002D4B91"/>
    <w:rsid w:val="002D4D3B"/>
    <w:rsid w:val="002D4F74"/>
    <w:rsid w:val="002D50A1"/>
    <w:rsid w:val="002D51F4"/>
    <w:rsid w:val="002D669E"/>
    <w:rsid w:val="002D67C3"/>
    <w:rsid w:val="002D6870"/>
    <w:rsid w:val="002D6F42"/>
    <w:rsid w:val="002D71B8"/>
    <w:rsid w:val="002D7251"/>
    <w:rsid w:val="002E075C"/>
    <w:rsid w:val="002E10B7"/>
    <w:rsid w:val="002E1C8A"/>
    <w:rsid w:val="002E2347"/>
    <w:rsid w:val="002E2C8C"/>
    <w:rsid w:val="002E38BA"/>
    <w:rsid w:val="002E3DC4"/>
    <w:rsid w:val="002E3E7D"/>
    <w:rsid w:val="002E4BAB"/>
    <w:rsid w:val="002E5752"/>
    <w:rsid w:val="002E5E33"/>
    <w:rsid w:val="002E6022"/>
    <w:rsid w:val="002E635C"/>
    <w:rsid w:val="002E6661"/>
    <w:rsid w:val="002E7CB5"/>
    <w:rsid w:val="002E7F23"/>
    <w:rsid w:val="002F05BD"/>
    <w:rsid w:val="002F1AD3"/>
    <w:rsid w:val="002F268E"/>
    <w:rsid w:val="002F278D"/>
    <w:rsid w:val="002F27BA"/>
    <w:rsid w:val="002F368F"/>
    <w:rsid w:val="002F41B9"/>
    <w:rsid w:val="002F4925"/>
    <w:rsid w:val="002F59EE"/>
    <w:rsid w:val="002F5C63"/>
    <w:rsid w:val="002F5F36"/>
    <w:rsid w:val="002F6A54"/>
    <w:rsid w:val="002F7D64"/>
    <w:rsid w:val="00300030"/>
    <w:rsid w:val="003003A0"/>
    <w:rsid w:val="00301756"/>
    <w:rsid w:val="00301A2B"/>
    <w:rsid w:val="00301D4A"/>
    <w:rsid w:val="00301F93"/>
    <w:rsid w:val="00302E4C"/>
    <w:rsid w:val="00303056"/>
    <w:rsid w:val="00303093"/>
    <w:rsid w:val="003038F2"/>
    <w:rsid w:val="00305295"/>
    <w:rsid w:val="0030599D"/>
    <w:rsid w:val="0030657D"/>
    <w:rsid w:val="00306C07"/>
    <w:rsid w:val="003070FC"/>
    <w:rsid w:val="003071FC"/>
    <w:rsid w:val="00307239"/>
    <w:rsid w:val="00307EBA"/>
    <w:rsid w:val="003104FF"/>
    <w:rsid w:val="003113F3"/>
    <w:rsid w:val="003117A7"/>
    <w:rsid w:val="003118E0"/>
    <w:rsid w:val="00312BD0"/>
    <w:rsid w:val="00312F24"/>
    <w:rsid w:val="00313396"/>
    <w:rsid w:val="003139B3"/>
    <w:rsid w:val="00313D4F"/>
    <w:rsid w:val="00314482"/>
    <w:rsid w:val="003148E1"/>
    <w:rsid w:val="00314ADB"/>
    <w:rsid w:val="003151C5"/>
    <w:rsid w:val="003151F3"/>
    <w:rsid w:val="00316369"/>
    <w:rsid w:val="00316395"/>
    <w:rsid w:val="003167A6"/>
    <w:rsid w:val="0031754B"/>
    <w:rsid w:val="003178EB"/>
    <w:rsid w:val="0032031B"/>
    <w:rsid w:val="0032098B"/>
    <w:rsid w:val="003216D7"/>
    <w:rsid w:val="0032209D"/>
    <w:rsid w:val="00322993"/>
    <w:rsid w:val="0032318E"/>
    <w:rsid w:val="00323BBE"/>
    <w:rsid w:val="0032403C"/>
    <w:rsid w:val="00324CB6"/>
    <w:rsid w:val="0032589B"/>
    <w:rsid w:val="00325FB9"/>
    <w:rsid w:val="00326A27"/>
    <w:rsid w:val="00326A8C"/>
    <w:rsid w:val="00326C98"/>
    <w:rsid w:val="00327392"/>
    <w:rsid w:val="0032764F"/>
    <w:rsid w:val="00327872"/>
    <w:rsid w:val="00331288"/>
    <w:rsid w:val="003314E2"/>
    <w:rsid w:val="00331CE4"/>
    <w:rsid w:val="003323D6"/>
    <w:rsid w:val="00332F71"/>
    <w:rsid w:val="003331BA"/>
    <w:rsid w:val="003332B5"/>
    <w:rsid w:val="003338E1"/>
    <w:rsid w:val="00333C7D"/>
    <w:rsid w:val="0033467C"/>
    <w:rsid w:val="003354D6"/>
    <w:rsid w:val="00335826"/>
    <w:rsid w:val="00336AD7"/>
    <w:rsid w:val="00337D4F"/>
    <w:rsid w:val="003406EF"/>
    <w:rsid w:val="0034171A"/>
    <w:rsid w:val="00341CCE"/>
    <w:rsid w:val="003427E8"/>
    <w:rsid w:val="00342B28"/>
    <w:rsid w:val="00343804"/>
    <w:rsid w:val="00343865"/>
    <w:rsid w:val="003442AD"/>
    <w:rsid w:val="00344A6D"/>
    <w:rsid w:val="00344BE1"/>
    <w:rsid w:val="003451F1"/>
    <w:rsid w:val="00345587"/>
    <w:rsid w:val="00345810"/>
    <w:rsid w:val="003505D8"/>
    <w:rsid w:val="00350B90"/>
    <w:rsid w:val="00352D7F"/>
    <w:rsid w:val="00353E25"/>
    <w:rsid w:val="00353EB6"/>
    <w:rsid w:val="003547E4"/>
    <w:rsid w:val="003547F7"/>
    <w:rsid w:val="003549F8"/>
    <w:rsid w:val="00355D5C"/>
    <w:rsid w:val="00356D44"/>
    <w:rsid w:val="00357858"/>
    <w:rsid w:val="00357B17"/>
    <w:rsid w:val="003603F4"/>
    <w:rsid w:val="00360C4E"/>
    <w:rsid w:val="00360EAD"/>
    <w:rsid w:val="00361604"/>
    <w:rsid w:val="00361690"/>
    <w:rsid w:val="00361F87"/>
    <w:rsid w:val="00362A22"/>
    <w:rsid w:val="00362DDE"/>
    <w:rsid w:val="00363222"/>
    <w:rsid w:val="003634D3"/>
    <w:rsid w:val="0036384D"/>
    <w:rsid w:val="00363F8B"/>
    <w:rsid w:val="003647D6"/>
    <w:rsid w:val="0036641C"/>
    <w:rsid w:val="0036662C"/>
    <w:rsid w:val="00367CC8"/>
    <w:rsid w:val="00370232"/>
    <w:rsid w:val="003703AC"/>
    <w:rsid w:val="003722B5"/>
    <w:rsid w:val="00372609"/>
    <w:rsid w:val="003728DC"/>
    <w:rsid w:val="00373D05"/>
    <w:rsid w:val="00373ED3"/>
    <w:rsid w:val="003745DC"/>
    <w:rsid w:val="00374744"/>
    <w:rsid w:val="00377031"/>
    <w:rsid w:val="003776FE"/>
    <w:rsid w:val="00377813"/>
    <w:rsid w:val="00377FD3"/>
    <w:rsid w:val="003801C3"/>
    <w:rsid w:val="0038089B"/>
    <w:rsid w:val="003810D4"/>
    <w:rsid w:val="00381D12"/>
    <w:rsid w:val="00381E1D"/>
    <w:rsid w:val="00381F54"/>
    <w:rsid w:val="00382371"/>
    <w:rsid w:val="00384792"/>
    <w:rsid w:val="0038514A"/>
    <w:rsid w:val="00385343"/>
    <w:rsid w:val="003865D3"/>
    <w:rsid w:val="00386E0A"/>
    <w:rsid w:val="00391533"/>
    <w:rsid w:val="00393645"/>
    <w:rsid w:val="00394671"/>
    <w:rsid w:val="003964D8"/>
    <w:rsid w:val="003967DA"/>
    <w:rsid w:val="00397259"/>
    <w:rsid w:val="00397907"/>
    <w:rsid w:val="003A0BC5"/>
    <w:rsid w:val="003A0DF4"/>
    <w:rsid w:val="003A0E96"/>
    <w:rsid w:val="003A0FC0"/>
    <w:rsid w:val="003A20B9"/>
    <w:rsid w:val="003A2AD5"/>
    <w:rsid w:val="003A2CC7"/>
    <w:rsid w:val="003A2FE5"/>
    <w:rsid w:val="003A4FBE"/>
    <w:rsid w:val="003A5060"/>
    <w:rsid w:val="003A5B5D"/>
    <w:rsid w:val="003A7C15"/>
    <w:rsid w:val="003B0492"/>
    <w:rsid w:val="003B1625"/>
    <w:rsid w:val="003B21DA"/>
    <w:rsid w:val="003B3945"/>
    <w:rsid w:val="003B3AE8"/>
    <w:rsid w:val="003B417A"/>
    <w:rsid w:val="003B4273"/>
    <w:rsid w:val="003B599A"/>
    <w:rsid w:val="003B5B9A"/>
    <w:rsid w:val="003B61F4"/>
    <w:rsid w:val="003B629A"/>
    <w:rsid w:val="003B7458"/>
    <w:rsid w:val="003C018E"/>
    <w:rsid w:val="003C0718"/>
    <w:rsid w:val="003C1FB9"/>
    <w:rsid w:val="003C34DD"/>
    <w:rsid w:val="003C572C"/>
    <w:rsid w:val="003C6075"/>
    <w:rsid w:val="003C632C"/>
    <w:rsid w:val="003C6978"/>
    <w:rsid w:val="003C6A43"/>
    <w:rsid w:val="003C7641"/>
    <w:rsid w:val="003C77F6"/>
    <w:rsid w:val="003C7907"/>
    <w:rsid w:val="003C7E53"/>
    <w:rsid w:val="003D10CC"/>
    <w:rsid w:val="003D2F11"/>
    <w:rsid w:val="003D34F2"/>
    <w:rsid w:val="003D3DE5"/>
    <w:rsid w:val="003D411A"/>
    <w:rsid w:val="003D4524"/>
    <w:rsid w:val="003D59D2"/>
    <w:rsid w:val="003D612A"/>
    <w:rsid w:val="003D68C7"/>
    <w:rsid w:val="003D6A27"/>
    <w:rsid w:val="003D762B"/>
    <w:rsid w:val="003D7EBD"/>
    <w:rsid w:val="003E00CC"/>
    <w:rsid w:val="003E0E2B"/>
    <w:rsid w:val="003E0FB1"/>
    <w:rsid w:val="003E1480"/>
    <w:rsid w:val="003E1BDF"/>
    <w:rsid w:val="003E219C"/>
    <w:rsid w:val="003E352B"/>
    <w:rsid w:val="003E36EC"/>
    <w:rsid w:val="003E3C43"/>
    <w:rsid w:val="003E520B"/>
    <w:rsid w:val="003E5918"/>
    <w:rsid w:val="003E6488"/>
    <w:rsid w:val="003E64DF"/>
    <w:rsid w:val="003E65D9"/>
    <w:rsid w:val="003E6B07"/>
    <w:rsid w:val="003E78C6"/>
    <w:rsid w:val="003E79B9"/>
    <w:rsid w:val="003F010D"/>
    <w:rsid w:val="003F02A3"/>
    <w:rsid w:val="003F0876"/>
    <w:rsid w:val="003F11D0"/>
    <w:rsid w:val="003F1388"/>
    <w:rsid w:val="003F1717"/>
    <w:rsid w:val="003F1855"/>
    <w:rsid w:val="003F3818"/>
    <w:rsid w:val="003F3896"/>
    <w:rsid w:val="003F5159"/>
    <w:rsid w:val="003F51C8"/>
    <w:rsid w:val="003F51D0"/>
    <w:rsid w:val="003F544D"/>
    <w:rsid w:val="003F54D7"/>
    <w:rsid w:val="003F6C0A"/>
    <w:rsid w:val="003F7875"/>
    <w:rsid w:val="004009A5"/>
    <w:rsid w:val="00400ACC"/>
    <w:rsid w:val="00401B22"/>
    <w:rsid w:val="00402510"/>
    <w:rsid w:val="00404F57"/>
    <w:rsid w:val="004054F3"/>
    <w:rsid w:val="00406D9F"/>
    <w:rsid w:val="00406FCE"/>
    <w:rsid w:val="0040796D"/>
    <w:rsid w:val="004079AE"/>
    <w:rsid w:val="0041103A"/>
    <w:rsid w:val="00411826"/>
    <w:rsid w:val="00412782"/>
    <w:rsid w:val="00412A8D"/>
    <w:rsid w:val="00412CB3"/>
    <w:rsid w:val="00412DC5"/>
    <w:rsid w:val="004130A9"/>
    <w:rsid w:val="00413527"/>
    <w:rsid w:val="00413EE8"/>
    <w:rsid w:val="00414F70"/>
    <w:rsid w:val="00415382"/>
    <w:rsid w:val="00416C09"/>
    <w:rsid w:val="00416D7D"/>
    <w:rsid w:val="0041745B"/>
    <w:rsid w:val="00417912"/>
    <w:rsid w:val="00417DF8"/>
    <w:rsid w:val="004207F0"/>
    <w:rsid w:val="004211FC"/>
    <w:rsid w:val="0042215A"/>
    <w:rsid w:val="00422CA4"/>
    <w:rsid w:val="00422D04"/>
    <w:rsid w:val="00423049"/>
    <w:rsid w:val="00424EAC"/>
    <w:rsid w:val="004250B6"/>
    <w:rsid w:val="004254EF"/>
    <w:rsid w:val="00425585"/>
    <w:rsid w:val="00425877"/>
    <w:rsid w:val="00425BDE"/>
    <w:rsid w:val="00425E7F"/>
    <w:rsid w:val="004269C6"/>
    <w:rsid w:val="00426FB0"/>
    <w:rsid w:val="00427ACB"/>
    <w:rsid w:val="004303F7"/>
    <w:rsid w:val="00430F5D"/>
    <w:rsid w:val="004314C6"/>
    <w:rsid w:val="004321B5"/>
    <w:rsid w:val="0043234B"/>
    <w:rsid w:val="00432808"/>
    <w:rsid w:val="00432908"/>
    <w:rsid w:val="00432F83"/>
    <w:rsid w:val="004333DB"/>
    <w:rsid w:val="00433536"/>
    <w:rsid w:val="0043469B"/>
    <w:rsid w:val="00434A43"/>
    <w:rsid w:val="00434B91"/>
    <w:rsid w:val="004356B6"/>
    <w:rsid w:val="004372F0"/>
    <w:rsid w:val="0043750A"/>
    <w:rsid w:val="00440463"/>
    <w:rsid w:val="00440805"/>
    <w:rsid w:val="0044104D"/>
    <w:rsid w:val="00442356"/>
    <w:rsid w:val="0044247E"/>
    <w:rsid w:val="00442A77"/>
    <w:rsid w:val="004435C2"/>
    <w:rsid w:val="0044425A"/>
    <w:rsid w:val="004442F2"/>
    <w:rsid w:val="00444C88"/>
    <w:rsid w:val="004452A6"/>
    <w:rsid w:val="0044665A"/>
    <w:rsid w:val="00446A17"/>
    <w:rsid w:val="0045080C"/>
    <w:rsid w:val="00450979"/>
    <w:rsid w:val="00451058"/>
    <w:rsid w:val="004514FB"/>
    <w:rsid w:val="004518FE"/>
    <w:rsid w:val="0045242B"/>
    <w:rsid w:val="00453066"/>
    <w:rsid w:val="004530BB"/>
    <w:rsid w:val="00454F7A"/>
    <w:rsid w:val="0045515D"/>
    <w:rsid w:val="00455345"/>
    <w:rsid w:val="00455717"/>
    <w:rsid w:val="00456261"/>
    <w:rsid w:val="004566EE"/>
    <w:rsid w:val="004568B9"/>
    <w:rsid w:val="00456985"/>
    <w:rsid w:val="00456F21"/>
    <w:rsid w:val="00457108"/>
    <w:rsid w:val="00457E27"/>
    <w:rsid w:val="00460891"/>
    <w:rsid w:val="0046208F"/>
    <w:rsid w:val="0046262D"/>
    <w:rsid w:val="0046345C"/>
    <w:rsid w:val="00464705"/>
    <w:rsid w:val="00465ACD"/>
    <w:rsid w:val="004668F5"/>
    <w:rsid w:val="00466D1B"/>
    <w:rsid w:val="004674A6"/>
    <w:rsid w:val="00470D65"/>
    <w:rsid w:val="0047150A"/>
    <w:rsid w:val="0047253E"/>
    <w:rsid w:val="00472ACC"/>
    <w:rsid w:val="004738E5"/>
    <w:rsid w:val="00473E08"/>
    <w:rsid w:val="00473FD7"/>
    <w:rsid w:val="004764AD"/>
    <w:rsid w:val="00476CE8"/>
    <w:rsid w:val="00477177"/>
    <w:rsid w:val="00481148"/>
    <w:rsid w:val="004813D5"/>
    <w:rsid w:val="00481651"/>
    <w:rsid w:val="004819B4"/>
    <w:rsid w:val="00481E08"/>
    <w:rsid w:val="0048290C"/>
    <w:rsid w:val="00482C7C"/>
    <w:rsid w:val="004840A0"/>
    <w:rsid w:val="00484F50"/>
    <w:rsid w:val="0048578E"/>
    <w:rsid w:val="0048632C"/>
    <w:rsid w:val="00486971"/>
    <w:rsid w:val="0048735D"/>
    <w:rsid w:val="004873AF"/>
    <w:rsid w:val="00487F76"/>
    <w:rsid w:val="0049081D"/>
    <w:rsid w:val="00491C45"/>
    <w:rsid w:val="00491E1C"/>
    <w:rsid w:val="00493405"/>
    <w:rsid w:val="004938DC"/>
    <w:rsid w:val="00494241"/>
    <w:rsid w:val="00494295"/>
    <w:rsid w:val="00494309"/>
    <w:rsid w:val="00495170"/>
    <w:rsid w:val="004954EE"/>
    <w:rsid w:val="004956D6"/>
    <w:rsid w:val="00495F2E"/>
    <w:rsid w:val="00496855"/>
    <w:rsid w:val="00496E18"/>
    <w:rsid w:val="004976BC"/>
    <w:rsid w:val="00497C6B"/>
    <w:rsid w:val="00497EEE"/>
    <w:rsid w:val="004A1C60"/>
    <w:rsid w:val="004A3644"/>
    <w:rsid w:val="004A4900"/>
    <w:rsid w:val="004A5AAD"/>
    <w:rsid w:val="004A7665"/>
    <w:rsid w:val="004B0517"/>
    <w:rsid w:val="004B123D"/>
    <w:rsid w:val="004B1B9C"/>
    <w:rsid w:val="004B1CD2"/>
    <w:rsid w:val="004B1E13"/>
    <w:rsid w:val="004B22C7"/>
    <w:rsid w:val="004B2322"/>
    <w:rsid w:val="004B2EB1"/>
    <w:rsid w:val="004B45DD"/>
    <w:rsid w:val="004B47D4"/>
    <w:rsid w:val="004B4D45"/>
    <w:rsid w:val="004B54CB"/>
    <w:rsid w:val="004B7003"/>
    <w:rsid w:val="004C0C15"/>
    <w:rsid w:val="004C105E"/>
    <w:rsid w:val="004C15CA"/>
    <w:rsid w:val="004C1923"/>
    <w:rsid w:val="004C1DA5"/>
    <w:rsid w:val="004C205D"/>
    <w:rsid w:val="004C2740"/>
    <w:rsid w:val="004C53A2"/>
    <w:rsid w:val="004C6480"/>
    <w:rsid w:val="004C6F0E"/>
    <w:rsid w:val="004C6F42"/>
    <w:rsid w:val="004C75B6"/>
    <w:rsid w:val="004C7829"/>
    <w:rsid w:val="004C7AC2"/>
    <w:rsid w:val="004C7CD8"/>
    <w:rsid w:val="004C7E12"/>
    <w:rsid w:val="004D023C"/>
    <w:rsid w:val="004D0ACD"/>
    <w:rsid w:val="004D13C7"/>
    <w:rsid w:val="004D18A5"/>
    <w:rsid w:val="004D56E3"/>
    <w:rsid w:val="004E013E"/>
    <w:rsid w:val="004E0BAD"/>
    <w:rsid w:val="004E0D6C"/>
    <w:rsid w:val="004E1E37"/>
    <w:rsid w:val="004E2503"/>
    <w:rsid w:val="004E2836"/>
    <w:rsid w:val="004E2C7C"/>
    <w:rsid w:val="004E3381"/>
    <w:rsid w:val="004E3933"/>
    <w:rsid w:val="004E3E47"/>
    <w:rsid w:val="004E46A0"/>
    <w:rsid w:val="004E4E01"/>
    <w:rsid w:val="004E580C"/>
    <w:rsid w:val="004E5D92"/>
    <w:rsid w:val="004E6B4A"/>
    <w:rsid w:val="004E6DF2"/>
    <w:rsid w:val="004E763C"/>
    <w:rsid w:val="004E7786"/>
    <w:rsid w:val="004F01EC"/>
    <w:rsid w:val="004F036A"/>
    <w:rsid w:val="004F07D0"/>
    <w:rsid w:val="004F10FC"/>
    <w:rsid w:val="004F1222"/>
    <w:rsid w:val="004F16A7"/>
    <w:rsid w:val="004F18CC"/>
    <w:rsid w:val="004F1C57"/>
    <w:rsid w:val="004F33C0"/>
    <w:rsid w:val="004F4370"/>
    <w:rsid w:val="004F4689"/>
    <w:rsid w:val="004F479C"/>
    <w:rsid w:val="004F4F48"/>
    <w:rsid w:val="004F625C"/>
    <w:rsid w:val="004F6BD2"/>
    <w:rsid w:val="004F79F4"/>
    <w:rsid w:val="004F7EBB"/>
    <w:rsid w:val="005001AB"/>
    <w:rsid w:val="005001EC"/>
    <w:rsid w:val="0050149C"/>
    <w:rsid w:val="00502385"/>
    <w:rsid w:val="005028E3"/>
    <w:rsid w:val="00502A76"/>
    <w:rsid w:val="00502D74"/>
    <w:rsid w:val="005039CC"/>
    <w:rsid w:val="005040F6"/>
    <w:rsid w:val="005044E8"/>
    <w:rsid w:val="00504F26"/>
    <w:rsid w:val="0050507C"/>
    <w:rsid w:val="00505614"/>
    <w:rsid w:val="0050600F"/>
    <w:rsid w:val="0050606B"/>
    <w:rsid w:val="005119EF"/>
    <w:rsid w:val="00511D5A"/>
    <w:rsid w:val="00514C3F"/>
    <w:rsid w:val="005159AB"/>
    <w:rsid w:val="00516495"/>
    <w:rsid w:val="00517A51"/>
    <w:rsid w:val="005207C5"/>
    <w:rsid w:val="00521998"/>
    <w:rsid w:val="00521A95"/>
    <w:rsid w:val="00521F3E"/>
    <w:rsid w:val="005223F8"/>
    <w:rsid w:val="005225E6"/>
    <w:rsid w:val="00522753"/>
    <w:rsid w:val="005232E8"/>
    <w:rsid w:val="005239F7"/>
    <w:rsid w:val="00523A91"/>
    <w:rsid w:val="00523B50"/>
    <w:rsid w:val="00523BB9"/>
    <w:rsid w:val="00524064"/>
    <w:rsid w:val="00524B0A"/>
    <w:rsid w:val="0052520D"/>
    <w:rsid w:val="00525A02"/>
    <w:rsid w:val="0052686A"/>
    <w:rsid w:val="00526D3B"/>
    <w:rsid w:val="00527056"/>
    <w:rsid w:val="0052732B"/>
    <w:rsid w:val="0052766D"/>
    <w:rsid w:val="00531184"/>
    <w:rsid w:val="005311DB"/>
    <w:rsid w:val="005312FE"/>
    <w:rsid w:val="0053218B"/>
    <w:rsid w:val="00532238"/>
    <w:rsid w:val="00532AFD"/>
    <w:rsid w:val="005332F2"/>
    <w:rsid w:val="0053449F"/>
    <w:rsid w:val="00534CD1"/>
    <w:rsid w:val="00535B2A"/>
    <w:rsid w:val="0053784F"/>
    <w:rsid w:val="00537C5B"/>
    <w:rsid w:val="0054151C"/>
    <w:rsid w:val="00541B66"/>
    <w:rsid w:val="00541B84"/>
    <w:rsid w:val="00541EF6"/>
    <w:rsid w:val="0054307F"/>
    <w:rsid w:val="00543D95"/>
    <w:rsid w:val="00545245"/>
    <w:rsid w:val="00546F89"/>
    <w:rsid w:val="00547116"/>
    <w:rsid w:val="005506DD"/>
    <w:rsid w:val="00550C81"/>
    <w:rsid w:val="00550FDE"/>
    <w:rsid w:val="0055151C"/>
    <w:rsid w:val="005518EC"/>
    <w:rsid w:val="00551DA7"/>
    <w:rsid w:val="005521E0"/>
    <w:rsid w:val="00552E54"/>
    <w:rsid w:val="00553674"/>
    <w:rsid w:val="00553E4F"/>
    <w:rsid w:val="00553FDE"/>
    <w:rsid w:val="005541A3"/>
    <w:rsid w:val="0055444C"/>
    <w:rsid w:val="00554919"/>
    <w:rsid w:val="00554D45"/>
    <w:rsid w:val="00555758"/>
    <w:rsid w:val="0055586B"/>
    <w:rsid w:val="0055662F"/>
    <w:rsid w:val="005568D5"/>
    <w:rsid w:val="00556E66"/>
    <w:rsid w:val="00557815"/>
    <w:rsid w:val="00557E69"/>
    <w:rsid w:val="0056098D"/>
    <w:rsid w:val="00560D26"/>
    <w:rsid w:val="00560D88"/>
    <w:rsid w:val="00561075"/>
    <w:rsid w:val="005612A1"/>
    <w:rsid w:val="005614CC"/>
    <w:rsid w:val="00561808"/>
    <w:rsid w:val="00562775"/>
    <w:rsid w:val="00562BC5"/>
    <w:rsid w:val="00564101"/>
    <w:rsid w:val="005650A0"/>
    <w:rsid w:val="005651B2"/>
    <w:rsid w:val="00565B4A"/>
    <w:rsid w:val="00566946"/>
    <w:rsid w:val="0057049A"/>
    <w:rsid w:val="005706B6"/>
    <w:rsid w:val="00570A4B"/>
    <w:rsid w:val="00570ED9"/>
    <w:rsid w:val="00572FE3"/>
    <w:rsid w:val="005730D5"/>
    <w:rsid w:val="00574FAC"/>
    <w:rsid w:val="00575302"/>
    <w:rsid w:val="00575522"/>
    <w:rsid w:val="005764E2"/>
    <w:rsid w:val="00576B7F"/>
    <w:rsid w:val="00577ABA"/>
    <w:rsid w:val="00580A74"/>
    <w:rsid w:val="00580E51"/>
    <w:rsid w:val="00580FC3"/>
    <w:rsid w:val="005822F2"/>
    <w:rsid w:val="005822FF"/>
    <w:rsid w:val="005838FC"/>
    <w:rsid w:val="005846D4"/>
    <w:rsid w:val="005851A0"/>
    <w:rsid w:val="00587B5B"/>
    <w:rsid w:val="00587EF9"/>
    <w:rsid w:val="00590C5D"/>
    <w:rsid w:val="005915BE"/>
    <w:rsid w:val="005916BE"/>
    <w:rsid w:val="00591CBD"/>
    <w:rsid w:val="00591D9F"/>
    <w:rsid w:val="00592239"/>
    <w:rsid w:val="00593138"/>
    <w:rsid w:val="005932A5"/>
    <w:rsid w:val="00594C14"/>
    <w:rsid w:val="00595590"/>
    <w:rsid w:val="005956E0"/>
    <w:rsid w:val="0059723D"/>
    <w:rsid w:val="005979D9"/>
    <w:rsid w:val="005A07C9"/>
    <w:rsid w:val="005A0943"/>
    <w:rsid w:val="005A0C97"/>
    <w:rsid w:val="005A1B6B"/>
    <w:rsid w:val="005A21E9"/>
    <w:rsid w:val="005A2D38"/>
    <w:rsid w:val="005A2EAE"/>
    <w:rsid w:val="005A4921"/>
    <w:rsid w:val="005A5A41"/>
    <w:rsid w:val="005A61E8"/>
    <w:rsid w:val="005B00E6"/>
    <w:rsid w:val="005B0B39"/>
    <w:rsid w:val="005B0E43"/>
    <w:rsid w:val="005B1766"/>
    <w:rsid w:val="005B26AE"/>
    <w:rsid w:val="005B2ED7"/>
    <w:rsid w:val="005B38B4"/>
    <w:rsid w:val="005B466D"/>
    <w:rsid w:val="005B486D"/>
    <w:rsid w:val="005B4E8D"/>
    <w:rsid w:val="005B515A"/>
    <w:rsid w:val="005B53BE"/>
    <w:rsid w:val="005B56CE"/>
    <w:rsid w:val="005B5B56"/>
    <w:rsid w:val="005B7331"/>
    <w:rsid w:val="005B7B99"/>
    <w:rsid w:val="005B7D4F"/>
    <w:rsid w:val="005C0C36"/>
    <w:rsid w:val="005C102F"/>
    <w:rsid w:val="005C1955"/>
    <w:rsid w:val="005C2045"/>
    <w:rsid w:val="005C2663"/>
    <w:rsid w:val="005C2AC1"/>
    <w:rsid w:val="005C413D"/>
    <w:rsid w:val="005C418A"/>
    <w:rsid w:val="005C4365"/>
    <w:rsid w:val="005C4E2C"/>
    <w:rsid w:val="005C538C"/>
    <w:rsid w:val="005C5C9E"/>
    <w:rsid w:val="005C63E4"/>
    <w:rsid w:val="005C6639"/>
    <w:rsid w:val="005C6E72"/>
    <w:rsid w:val="005D1149"/>
    <w:rsid w:val="005D1AF8"/>
    <w:rsid w:val="005D1EAA"/>
    <w:rsid w:val="005D46BC"/>
    <w:rsid w:val="005D483D"/>
    <w:rsid w:val="005D4BAE"/>
    <w:rsid w:val="005D6A24"/>
    <w:rsid w:val="005D7220"/>
    <w:rsid w:val="005D79B3"/>
    <w:rsid w:val="005D7BE9"/>
    <w:rsid w:val="005E0BD8"/>
    <w:rsid w:val="005E109F"/>
    <w:rsid w:val="005E12B3"/>
    <w:rsid w:val="005E1A06"/>
    <w:rsid w:val="005E1ABE"/>
    <w:rsid w:val="005E2782"/>
    <w:rsid w:val="005E29CA"/>
    <w:rsid w:val="005E2CD6"/>
    <w:rsid w:val="005E460B"/>
    <w:rsid w:val="005E5624"/>
    <w:rsid w:val="005E5D3E"/>
    <w:rsid w:val="005E5F52"/>
    <w:rsid w:val="005E61B0"/>
    <w:rsid w:val="005E6699"/>
    <w:rsid w:val="005E67C9"/>
    <w:rsid w:val="005E6A7D"/>
    <w:rsid w:val="005E6FB8"/>
    <w:rsid w:val="005E713F"/>
    <w:rsid w:val="005E7626"/>
    <w:rsid w:val="005E76D7"/>
    <w:rsid w:val="005E7C95"/>
    <w:rsid w:val="005F0799"/>
    <w:rsid w:val="005F1374"/>
    <w:rsid w:val="005F161C"/>
    <w:rsid w:val="005F1A26"/>
    <w:rsid w:val="005F1B81"/>
    <w:rsid w:val="005F2100"/>
    <w:rsid w:val="005F241F"/>
    <w:rsid w:val="005F31FE"/>
    <w:rsid w:val="005F3F91"/>
    <w:rsid w:val="005F44D9"/>
    <w:rsid w:val="005F4D38"/>
    <w:rsid w:val="005F4DFC"/>
    <w:rsid w:val="005F4F9F"/>
    <w:rsid w:val="005F61C8"/>
    <w:rsid w:val="005F762A"/>
    <w:rsid w:val="006000FA"/>
    <w:rsid w:val="006005C1"/>
    <w:rsid w:val="006007A8"/>
    <w:rsid w:val="00600E21"/>
    <w:rsid w:val="0060124D"/>
    <w:rsid w:val="00601F76"/>
    <w:rsid w:val="00603C50"/>
    <w:rsid w:val="00604F54"/>
    <w:rsid w:val="00605736"/>
    <w:rsid w:val="006060BA"/>
    <w:rsid w:val="00606587"/>
    <w:rsid w:val="00606DA4"/>
    <w:rsid w:val="00606EB9"/>
    <w:rsid w:val="00607C07"/>
    <w:rsid w:val="006101B7"/>
    <w:rsid w:val="00610D1A"/>
    <w:rsid w:val="00611B44"/>
    <w:rsid w:val="00613248"/>
    <w:rsid w:val="00613303"/>
    <w:rsid w:val="00613395"/>
    <w:rsid w:val="00613C82"/>
    <w:rsid w:val="006140D2"/>
    <w:rsid w:val="00614BD4"/>
    <w:rsid w:val="00614E8F"/>
    <w:rsid w:val="00620706"/>
    <w:rsid w:val="00620A65"/>
    <w:rsid w:val="00620B4A"/>
    <w:rsid w:val="00620C67"/>
    <w:rsid w:val="0062130F"/>
    <w:rsid w:val="00621591"/>
    <w:rsid w:val="00621A06"/>
    <w:rsid w:val="00621EC0"/>
    <w:rsid w:val="006225A7"/>
    <w:rsid w:val="006225C6"/>
    <w:rsid w:val="00623425"/>
    <w:rsid w:val="00623F24"/>
    <w:rsid w:val="006246AE"/>
    <w:rsid w:val="006251A7"/>
    <w:rsid w:val="006251D4"/>
    <w:rsid w:val="0062526F"/>
    <w:rsid w:val="00625C04"/>
    <w:rsid w:val="00625D41"/>
    <w:rsid w:val="00626F1B"/>
    <w:rsid w:val="00627D8A"/>
    <w:rsid w:val="00627DB6"/>
    <w:rsid w:val="00630C23"/>
    <w:rsid w:val="00630DC7"/>
    <w:rsid w:val="006317EC"/>
    <w:rsid w:val="00631C62"/>
    <w:rsid w:val="0063216D"/>
    <w:rsid w:val="00632594"/>
    <w:rsid w:val="006335E1"/>
    <w:rsid w:val="00634C9E"/>
    <w:rsid w:val="00635E8E"/>
    <w:rsid w:val="006365AF"/>
    <w:rsid w:val="00636867"/>
    <w:rsid w:val="00636C13"/>
    <w:rsid w:val="00636D3C"/>
    <w:rsid w:val="006372A3"/>
    <w:rsid w:val="006376CE"/>
    <w:rsid w:val="006377B9"/>
    <w:rsid w:val="006408E3"/>
    <w:rsid w:val="00640A31"/>
    <w:rsid w:val="00641251"/>
    <w:rsid w:val="00642425"/>
    <w:rsid w:val="006424D3"/>
    <w:rsid w:val="006429EA"/>
    <w:rsid w:val="00642AC3"/>
    <w:rsid w:val="0064325F"/>
    <w:rsid w:val="0064397A"/>
    <w:rsid w:val="006444D2"/>
    <w:rsid w:val="006447AA"/>
    <w:rsid w:val="00644DEF"/>
    <w:rsid w:val="006453EF"/>
    <w:rsid w:val="006453F9"/>
    <w:rsid w:val="00646537"/>
    <w:rsid w:val="00646586"/>
    <w:rsid w:val="006472FB"/>
    <w:rsid w:val="00647E49"/>
    <w:rsid w:val="00650231"/>
    <w:rsid w:val="00650748"/>
    <w:rsid w:val="00650FCB"/>
    <w:rsid w:val="0065206C"/>
    <w:rsid w:val="0065243A"/>
    <w:rsid w:val="006527BA"/>
    <w:rsid w:val="00652906"/>
    <w:rsid w:val="00652DD4"/>
    <w:rsid w:val="0065309A"/>
    <w:rsid w:val="00653FCF"/>
    <w:rsid w:val="006543A9"/>
    <w:rsid w:val="006551AD"/>
    <w:rsid w:val="006552F9"/>
    <w:rsid w:val="0065611B"/>
    <w:rsid w:val="006563DB"/>
    <w:rsid w:val="00656596"/>
    <w:rsid w:val="00656631"/>
    <w:rsid w:val="00657167"/>
    <w:rsid w:val="00657441"/>
    <w:rsid w:val="00660016"/>
    <w:rsid w:val="00660BA2"/>
    <w:rsid w:val="00661B0E"/>
    <w:rsid w:val="006635AC"/>
    <w:rsid w:val="0066363B"/>
    <w:rsid w:val="006636B4"/>
    <w:rsid w:val="006646B5"/>
    <w:rsid w:val="0066546A"/>
    <w:rsid w:val="00667968"/>
    <w:rsid w:val="0067059F"/>
    <w:rsid w:val="00671A37"/>
    <w:rsid w:val="006723DD"/>
    <w:rsid w:val="0067346A"/>
    <w:rsid w:val="00674074"/>
    <w:rsid w:val="00674190"/>
    <w:rsid w:val="0067782F"/>
    <w:rsid w:val="006778DD"/>
    <w:rsid w:val="00677B6D"/>
    <w:rsid w:val="00677B8D"/>
    <w:rsid w:val="0068030E"/>
    <w:rsid w:val="006803FA"/>
    <w:rsid w:val="0068176F"/>
    <w:rsid w:val="00681898"/>
    <w:rsid w:val="006827DF"/>
    <w:rsid w:val="006834CF"/>
    <w:rsid w:val="0068358B"/>
    <w:rsid w:val="006838B4"/>
    <w:rsid w:val="00683B86"/>
    <w:rsid w:val="00684304"/>
    <w:rsid w:val="00684F17"/>
    <w:rsid w:val="00684F96"/>
    <w:rsid w:val="006852F5"/>
    <w:rsid w:val="006857EA"/>
    <w:rsid w:val="006875A4"/>
    <w:rsid w:val="00687A8F"/>
    <w:rsid w:val="00687CC2"/>
    <w:rsid w:val="00687DC9"/>
    <w:rsid w:val="006908ED"/>
    <w:rsid w:val="006914E3"/>
    <w:rsid w:val="0069152E"/>
    <w:rsid w:val="00691CFD"/>
    <w:rsid w:val="006928F0"/>
    <w:rsid w:val="00693640"/>
    <w:rsid w:val="0069392A"/>
    <w:rsid w:val="00693A0B"/>
    <w:rsid w:val="00693C7D"/>
    <w:rsid w:val="00694225"/>
    <w:rsid w:val="006958C2"/>
    <w:rsid w:val="00696622"/>
    <w:rsid w:val="00696E5A"/>
    <w:rsid w:val="00696F5E"/>
    <w:rsid w:val="00697122"/>
    <w:rsid w:val="00697F2A"/>
    <w:rsid w:val="006A0E61"/>
    <w:rsid w:val="006A25A6"/>
    <w:rsid w:val="006A2D42"/>
    <w:rsid w:val="006A2E89"/>
    <w:rsid w:val="006A3A8A"/>
    <w:rsid w:val="006A3C2C"/>
    <w:rsid w:val="006A3CC7"/>
    <w:rsid w:val="006A476A"/>
    <w:rsid w:val="006A5CE9"/>
    <w:rsid w:val="006A6003"/>
    <w:rsid w:val="006A603B"/>
    <w:rsid w:val="006A7DF1"/>
    <w:rsid w:val="006B0834"/>
    <w:rsid w:val="006B0CCD"/>
    <w:rsid w:val="006B1591"/>
    <w:rsid w:val="006B210F"/>
    <w:rsid w:val="006B2C66"/>
    <w:rsid w:val="006B38B8"/>
    <w:rsid w:val="006B3943"/>
    <w:rsid w:val="006B4542"/>
    <w:rsid w:val="006B4648"/>
    <w:rsid w:val="006B55DA"/>
    <w:rsid w:val="006B5BB7"/>
    <w:rsid w:val="006B5FCF"/>
    <w:rsid w:val="006B6BAB"/>
    <w:rsid w:val="006B6BB0"/>
    <w:rsid w:val="006B6E6D"/>
    <w:rsid w:val="006B7329"/>
    <w:rsid w:val="006B78AD"/>
    <w:rsid w:val="006B7CF8"/>
    <w:rsid w:val="006C0FF7"/>
    <w:rsid w:val="006C225E"/>
    <w:rsid w:val="006C30EF"/>
    <w:rsid w:val="006C31B3"/>
    <w:rsid w:val="006C4466"/>
    <w:rsid w:val="006C48BE"/>
    <w:rsid w:val="006C4CE2"/>
    <w:rsid w:val="006C5ABC"/>
    <w:rsid w:val="006C5C02"/>
    <w:rsid w:val="006C60BD"/>
    <w:rsid w:val="006C61FC"/>
    <w:rsid w:val="006C6726"/>
    <w:rsid w:val="006C7B2F"/>
    <w:rsid w:val="006D080A"/>
    <w:rsid w:val="006D0BC9"/>
    <w:rsid w:val="006D1030"/>
    <w:rsid w:val="006D11DF"/>
    <w:rsid w:val="006D13C7"/>
    <w:rsid w:val="006D180D"/>
    <w:rsid w:val="006D2444"/>
    <w:rsid w:val="006D2607"/>
    <w:rsid w:val="006D3111"/>
    <w:rsid w:val="006D3146"/>
    <w:rsid w:val="006D46E2"/>
    <w:rsid w:val="006D5C03"/>
    <w:rsid w:val="006D5CEE"/>
    <w:rsid w:val="006D61E8"/>
    <w:rsid w:val="006D6A3A"/>
    <w:rsid w:val="006D6BE4"/>
    <w:rsid w:val="006D7B92"/>
    <w:rsid w:val="006E02D2"/>
    <w:rsid w:val="006E04C9"/>
    <w:rsid w:val="006E053D"/>
    <w:rsid w:val="006E2498"/>
    <w:rsid w:val="006E283A"/>
    <w:rsid w:val="006E2CF2"/>
    <w:rsid w:val="006E2E50"/>
    <w:rsid w:val="006E33CF"/>
    <w:rsid w:val="006E3940"/>
    <w:rsid w:val="006E3B13"/>
    <w:rsid w:val="006E4593"/>
    <w:rsid w:val="006E4BB1"/>
    <w:rsid w:val="006E51C3"/>
    <w:rsid w:val="006E51FA"/>
    <w:rsid w:val="006E5D6C"/>
    <w:rsid w:val="006E71F3"/>
    <w:rsid w:val="006E73FC"/>
    <w:rsid w:val="006E7DE9"/>
    <w:rsid w:val="006E7F03"/>
    <w:rsid w:val="006E7F0C"/>
    <w:rsid w:val="006F06EC"/>
    <w:rsid w:val="006F0AC3"/>
    <w:rsid w:val="006F0ED9"/>
    <w:rsid w:val="006F1326"/>
    <w:rsid w:val="006F18FA"/>
    <w:rsid w:val="006F1DA9"/>
    <w:rsid w:val="006F3007"/>
    <w:rsid w:val="006F3CA3"/>
    <w:rsid w:val="006F3D54"/>
    <w:rsid w:val="006F4DAB"/>
    <w:rsid w:val="006F4E95"/>
    <w:rsid w:val="006F5603"/>
    <w:rsid w:val="006F5F1A"/>
    <w:rsid w:val="006F69C5"/>
    <w:rsid w:val="006F69CA"/>
    <w:rsid w:val="006F6DED"/>
    <w:rsid w:val="006F78A2"/>
    <w:rsid w:val="00700129"/>
    <w:rsid w:val="007002E2"/>
    <w:rsid w:val="0070033F"/>
    <w:rsid w:val="00700D11"/>
    <w:rsid w:val="00702BAE"/>
    <w:rsid w:val="00702C43"/>
    <w:rsid w:val="00702FA9"/>
    <w:rsid w:val="00703366"/>
    <w:rsid w:val="007044E8"/>
    <w:rsid w:val="00704954"/>
    <w:rsid w:val="00705034"/>
    <w:rsid w:val="00705190"/>
    <w:rsid w:val="007051F4"/>
    <w:rsid w:val="00705344"/>
    <w:rsid w:val="00705A7E"/>
    <w:rsid w:val="00710130"/>
    <w:rsid w:val="00710E71"/>
    <w:rsid w:val="0071206A"/>
    <w:rsid w:val="007121B4"/>
    <w:rsid w:val="007121D9"/>
    <w:rsid w:val="0071295F"/>
    <w:rsid w:val="00712C07"/>
    <w:rsid w:val="00714CF3"/>
    <w:rsid w:val="0071597D"/>
    <w:rsid w:val="00716AD8"/>
    <w:rsid w:val="007174E1"/>
    <w:rsid w:val="007175A2"/>
    <w:rsid w:val="00717EA7"/>
    <w:rsid w:val="00720ABF"/>
    <w:rsid w:val="00721422"/>
    <w:rsid w:val="007215BE"/>
    <w:rsid w:val="007215D9"/>
    <w:rsid w:val="00721953"/>
    <w:rsid w:val="0072296A"/>
    <w:rsid w:val="00724EE8"/>
    <w:rsid w:val="00726ADA"/>
    <w:rsid w:val="00726CE8"/>
    <w:rsid w:val="00727282"/>
    <w:rsid w:val="00727947"/>
    <w:rsid w:val="00730BB0"/>
    <w:rsid w:val="00731446"/>
    <w:rsid w:val="0073284A"/>
    <w:rsid w:val="00732A86"/>
    <w:rsid w:val="00732BDD"/>
    <w:rsid w:val="00732E94"/>
    <w:rsid w:val="007340DD"/>
    <w:rsid w:val="00734311"/>
    <w:rsid w:val="007349CF"/>
    <w:rsid w:val="007349E5"/>
    <w:rsid w:val="00735862"/>
    <w:rsid w:val="00735DCD"/>
    <w:rsid w:val="00736505"/>
    <w:rsid w:val="007369B2"/>
    <w:rsid w:val="00736FE3"/>
    <w:rsid w:val="007372E4"/>
    <w:rsid w:val="00741C19"/>
    <w:rsid w:val="007427DC"/>
    <w:rsid w:val="00742A98"/>
    <w:rsid w:val="0074366F"/>
    <w:rsid w:val="007437D7"/>
    <w:rsid w:val="00743C3C"/>
    <w:rsid w:val="00743FB7"/>
    <w:rsid w:val="007451C2"/>
    <w:rsid w:val="007454B5"/>
    <w:rsid w:val="00745C2B"/>
    <w:rsid w:val="00746327"/>
    <w:rsid w:val="0074658E"/>
    <w:rsid w:val="007465E7"/>
    <w:rsid w:val="00747E99"/>
    <w:rsid w:val="00750610"/>
    <w:rsid w:val="00752255"/>
    <w:rsid w:val="00752939"/>
    <w:rsid w:val="00753D81"/>
    <w:rsid w:val="00755181"/>
    <w:rsid w:val="00755700"/>
    <w:rsid w:val="00755D63"/>
    <w:rsid w:val="0075624C"/>
    <w:rsid w:val="007570E9"/>
    <w:rsid w:val="00757224"/>
    <w:rsid w:val="00757A62"/>
    <w:rsid w:val="00761A7D"/>
    <w:rsid w:val="00761C93"/>
    <w:rsid w:val="00763B20"/>
    <w:rsid w:val="00763BF4"/>
    <w:rsid w:val="00763F87"/>
    <w:rsid w:val="0076458B"/>
    <w:rsid w:val="00764E8B"/>
    <w:rsid w:val="0076677D"/>
    <w:rsid w:val="00766A6B"/>
    <w:rsid w:val="00767605"/>
    <w:rsid w:val="0076780A"/>
    <w:rsid w:val="00767969"/>
    <w:rsid w:val="00770AFD"/>
    <w:rsid w:val="007711D1"/>
    <w:rsid w:val="00772F58"/>
    <w:rsid w:val="00772F74"/>
    <w:rsid w:val="0077430C"/>
    <w:rsid w:val="007757F4"/>
    <w:rsid w:val="0077595E"/>
    <w:rsid w:val="007769BC"/>
    <w:rsid w:val="007770AD"/>
    <w:rsid w:val="00777A6D"/>
    <w:rsid w:val="00777A78"/>
    <w:rsid w:val="0078105C"/>
    <w:rsid w:val="00781617"/>
    <w:rsid w:val="00781D7B"/>
    <w:rsid w:val="00781E99"/>
    <w:rsid w:val="00783F6B"/>
    <w:rsid w:val="007840EC"/>
    <w:rsid w:val="00784B47"/>
    <w:rsid w:val="007857D4"/>
    <w:rsid w:val="00786448"/>
    <w:rsid w:val="00786E36"/>
    <w:rsid w:val="00787102"/>
    <w:rsid w:val="0078754F"/>
    <w:rsid w:val="0078769F"/>
    <w:rsid w:val="00791DB3"/>
    <w:rsid w:val="00794593"/>
    <w:rsid w:val="007946DE"/>
    <w:rsid w:val="00795521"/>
    <w:rsid w:val="00795B2D"/>
    <w:rsid w:val="00795E18"/>
    <w:rsid w:val="00795FCB"/>
    <w:rsid w:val="00797676"/>
    <w:rsid w:val="007977B8"/>
    <w:rsid w:val="00797F4C"/>
    <w:rsid w:val="007A0605"/>
    <w:rsid w:val="007A0EF0"/>
    <w:rsid w:val="007A19E1"/>
    <w:rsid w:val="007A1B7C"/>
    <w:rsid w:val="007A25AE"/>
    <w:rsid w:val="007A27EE"/>
    <w:rsid w:val="007A3273"/>
    <w:rsid w:val="007A3AD0"/>
    <w:rsid w:val="007A3DFE"/>
    <w:rsid w:val="007A48F2"/>
    <w:rsid w:val="007A4AF9"/>
    <w:rsid w:val="007A5B25"/>
    <w:rsid w:val="007A5DF9"/>
    <w:rsid w:val="007A6513"/>
    <w:rsid w:val="007A6542"/>
    <w:rsid w:val="007A66C0"/>
    <w:rsid w:val="007A79C8"/>
    <w:rsid w:val="007B0922"/>
    <w:rsid w:val="007B0AD1"/>
    <w:rsid w:val="007B137A"/>
    <w:rsid w:val="007B1B16"/>
    <w:rsid w:val="007B2152"/>
    <w:rsid w:val="007B30B3"/>
    <w:rsid w:val="007B39CA"/>
    <w:rsid w:val="007B4DBA"/>
    <w:rsid w:val="007B5C59"/>
    <w:rsid w:val="007B5F39"/>
    <w:rsid w:val="007B6323"/>
    <w:rsid w:val="007B6EE6"/>
    <w:rsid w:val="007B790A"/>
    <w:rsid w:val="007C002A"/>
    <w:rsid w:val="007C2074"/>
    <w:rsid w:val="007C228A"/>
    <w:rsid w:val="007C274F"/>
    <w:rsid w:val="007C2D06"/>
    <w:rsid w:val="007C4B3F"/>
    <w:rsid w:val="007C6F8B"/>
    <w:rsid w:val="007D03FE"/>
    <w:rsid w:val="007D1235"/>
    <w:rsid w:val="007D1F6C"/>
    <w:rsid w:val="007D318F"/>
    <w:rsid w:val="007D353C"/>
    <w:rsid w:val="007D36F8"/>
    <w:rsid w:val="007D370A"/>
    <w:rsid w:val="007D3F20"/>
    <w:rsid w:val="007D44E9"/>
    <w:rsid w:val="007D44FD"/>
    <w:rsid w:val="007D4FF2"/>
    <w:rsid w:val="007D6AB4"/>
    <w:rsid w:val="007D7926"/>
    <w:rsid w:val="007E0F2D"/>
    <w:rsid w:val="007E109E"/>
    <w:rsid w:val="007E2706"/>
    <w:rsid w:val="007E368E"/>
    <w:rsid w:val="007E4F45"/>
    <w:rsid w:val="007E50D0"/>
    <w:rsid w:val="007E526D"/>
    <w:rsid w:val="007E560D"/>
    <w:rsid w:val="007E601D"/>
    <w:rsid w:val="007E6241"/>
    <w:rsid w:val="007E6A86"/>
    <w:rsid w:val="007E724B"/>
    <w:rsid w:val="007E7615"/>
    <w:rsid w:val="007E778D"/>
    <w:rsid w:val="007F0237"/>
    <w:rsid w:val="007F0ED7"/>
    <w:rsid w:val="007F11E3"/>
    <w:rsid w:val="007F20A3"/>
    <w:rsid w:val="007F240E"/>
    <w:rsid w:val="007F2671"/>
    <w:rsid w:val="007F2ED2"/>
    <w:rsid w:val="007F4AB0"/>
    <w:rsid w:val="007F5203"/>
    <w:rsid w:val="007F586D"/>
    <w:rsid w:val="007F5EE8"/>
    <w:rsid w:val="007F669C"/>
    <w:rsid w:val="007F7505"/>
    <w:rsid w:val="007F77D7"/>
    <w:rsid w:val="00800223"/>
    <w:rsid w:val="00800A59"/>
    <w:rsid w:val="0080119B"/>
    <w:rsid w:val="008011BD"/>
    <w:rsid w:val="00802928"/>
    <w:rsid w:val="008029D9"/>
    <w:rsid w:val="0080321D"/>
    <w:rsid w:val="00803380"/>
    <w:rsid w:val="00803A11"/>
    <w:rsid w:val="00804A77"/>
    <w:rsid w:val="00804BD5"/>
    <w:rsid w:val="00804CA2"/>
    <w:rsid w:val="00807545"/>
    <w:rsid w:val="008103A4"/>
    <w:rsid w:val="008114C7"/>
    <w:rsid w:val="008134B7"/>
    <w:rsid w:val="0081378C"/>
    <w:rsid w:val="00813B88"/>
    <w:rsid w:val="00813C46"/>
    <w:rsid w:val="00813FDF"/>
    <w:rsid w:val="0081507F"/>
    <w:rsid w:val="00815EDA"/>
    <w:rsid w:val="0081609F"/>
    <w:rsid w:val="00816527"/>
    <w:rsid w:val="008167EF"/>
    <w:rsid w:val="00817212"/>
    <w:rsid w:val="00817EB7"/>
    <w:rsid w:val="008207AC"/>
    <w:rsid w:val="0082083B"/>
    <w:rsid w:val="008212D8"/>
    <w:rsid w:val="008216DA"/>
    <w:rsid w:val="00821A0F"/>
    <w:rsid w:val="00823794"/>
    <w:rsid w:val="00823852"/>
    <w:rsid w:val="008241D7"/>
    <w:rsid w:val="00824392"/>
    <w:rsid w:val="008243BE"/>
    <w:rsid w:val="008247FF"/>
    <w:rsid w:val="00824988"/>
    <w:rsid w:val="00825009"/>
    <w:rsid w:val="008268D6"/>
    <w:rsid w:val="008278FF"/>
    <w:rsid w:val="00831946"/>
    <w:rsid w:val="00831CB3"/>
    <w:rsid w:val="00833C14"/>
    <w:rsid w:val="0083474D"/>
    <w:rsid w:val="008361B7"/>
    <w:rsid w:val="0083621C"/>
    <w:rsid w:val="00836973"/>
    <w:rsid w:val="00836D66"/>
    <w:rsid w:val="00836F0A"/>
    <w:rsid w:val="00841609"/>
    <w:rsid w:val="008422E1"/>
    <w:rsid w:val="00842BE2"/>
    <w:rsid w:val="00842E4A"/>
    <w:rsid w:val="008439D6"/>
    <w:rsid w:val="00843BA2"/>
    <w:rsid w:val="00844AB9"/>
    <w:rsid w:val="00845891"/>
    <w:rsid w:val="00845908"/>
    <w:rsid w:val="00845D72"/>
    <w:rsid w:val="00845EE5"/>
    <w:rsid w:val="00845F66"/>
    <w:rsid w:val="00846DE5"/>
    <w:rsid w:val="008471D3"/>
    <w:rsid w:val="00847420"/>
    <w:rsid w:val="00847BD7"/>
    <w:rsid w:val="00847BE1"/>
    <w:rsid w:val="00851B68"/>
    <w:rsid w:val="00851BCE"/>
    <w:rsid w:val="008523AF"/>
    <w:rsid w:val="00852BB7"/>
    <w:rsid w:val="00854E61"/>
    <w:rsid w:val="0085622B"/>
    <w:rsid w:val="0085623B"/>
    <w:rsid w:val="008563B4"/>
    <w:rsid w:val="0085655A"/>
    <w:rsid w:val="0085666B"/>
    <w:rsid w:val="0086020E"/>
    <w:rsid w:val="00860326"/>
    <w:rsid w:val="00860876"/>
    <w:rsid w:val="00860EE3"/>
    <w:rsid w:val="00860F3B"/>
    <w:rsid w:val="008615C7"/>
    <w:rsid w:val="00861C41"/>
    <w:rsid w:val="00861CD9"/>
    <w:rsid w:val="00862701"/>
    <w:rsid w:val="0086720B"/>
    <w:rsid w:val="00867857"/>
    <w:rsid w:val="00871550"/>
    <w:rsid w:val="00871848"/>
    <w:rsid w:val="008722A1"/>
    <w:rsid w:val="008728D1"/>
    <w:rsid w:val="00873463"/>
    <w:rsid w:val="00873E05"/>
    <w:rsid w:val="008742DD"/>
    <w:rsid w:val="00874526"/>
    <w:rsid w:val="008756BA"/>
    <w:rsid w:val="00876300"/>
    <w:rsid w:val="00876B0E"/>
    <w:rsid w:val="008779B2"/>
    <w:rsid w:val="00877E8D"/>
    <w:rsid w:val="00880849"/>
    <w:rsid w:val="00880E22"/>
    <w:rsid w:val="00881B1C"/>
    <w:rsid w:val="00881FFA"/>
    <w:rsid w:val="00882343"/>
    <w:rsid w:val="008826FE"/>
    <w:rsid w:val="00882AB1"/>
    <w:rsid w:val="008830C8"/>
    <w:rsid w:val="00884817"/>
    <w:rsid w:val="00884AC0"/>
    <w:rsid w:val="00884B3A"/>
    <w:rsid w:val="00885B45"/>
    <w:rsid w:val="00887578"/>
    <w:rsid w:val="0089000A"/>
    <w:rsid w:val="0089244C"/>
    <w:rsid w:val="008938BF"/>
    <w:rsid w:val="00893DBC"/>
    <w:rsid w:val="0089440F"/>
    <w:rsid w:val="00894B47"/>
    <w:rsid w:val="00894BE8"/>
    <w:rsid w:val="00894BEC"/>
    <w:rsid w:val="0089706C"/>
    <w:rsid w:val="008971CB"/>
    <w:rsid w:val="0089775B"/>
    <w:rsid w:val="008A00E4"/>
    <w:rsid w:val="008A136C"/>
    <w:rsid w:val="008A14B2"/>
    <w:rsid w:val="008A196C"/>
    <w:rsid w:val="008A1A04"/>
    <w:rsid w:val="008A2713"/>
    <w:rsid w:val="008A2963"/>
    <w:rsid w:val="008A2AAB"/>
    <w:rsid w:val="008A369B"/>
    <w:rsid w:val="008A3780"/>
    <w:rsid w:val="008A4B4F"/>
    <w:rsid w:val="008A4D0D"/>
    <w:rsid w:val="008A587E"/>
    <w:rsid w:val="008A5D00"/>
    <w:rsid w:val="008A62BB"/>
    <w:rsid w:val="008A683A"/>
    <w:rsid w:val="008A6C2F"/>
    <w:rsid w:val="008A6CA0"/>
    <w:rsid w:val="008A759A"/>
    <w:rsid w:val="008A7A8E"/>
    <w:rsid w:val="008A7CB6"/>
    <w:rsid w:val="008A7DF8"/>
    <w:rsid w:val="008B1A44"/>
    <w:rsid w:val="008B1C22"/>
    <w:rsid w:val="008B1E0A"/>
    <w:rsid w:val="008B2323"/>
    <w:rsid w:val="008B291B"/>
    <w:rsid w:val="008B2AA7"/>
    <w:rsid w:val="008B2C1E"/>
    <w:rsid w:val="008B4352"/>
    <w:rsid w:val="008B4465"/>
    <w:rsid w:val="008B4FCA"/>
    <w:rsid w:val="008B5034"/>
    <w:rsid w:val="008B6980"/>
    <w:rsid w:val="008B6D18"/>
    <w:rsid w:val="008B6F52"/>
    <w:rsid w:val="008B7025"/>
    <w:rsid w:val="008B73B4"/>
    <w:rsid w:val="008C018D"/>
    <w:rsid w:val="008C0BFF"/>
    <w:rsid w:val="008C2344"/>
    <w:rsid w:val="008C2A2F"/>
    <w:rsid w:val="008C2D51"/>
    <w:rsid w:val="008C3A86"/>
    <w:rsid w:val="008C3DD5"/>
    <w:rsid w:val="008C4AA3"/>
    <w:rsid w:val="008C52D7"/>
    <w:rsid w:val="008C7610"/>
    <w:rsid w:val="008C7F73"/>
    <w:rsid w:val="008D00AB"/>
    <w:rsid w:val="008D0381"/>
    <w:rsid w:val="008D0841"/>
    <w:rsid w:val="008D15C8"/>
    <w:rsid w:val="008D1701"/>
    <w:rsid w:val="008D191C"/>
    <w:rsid w:val="008D1A8D"/>
    <w:rsid w:val="008D1C82"/>
    <w:rsid w:val="008D3213"/>
    <w:rsid w:val="008D3235"/>
    <w:rsid w:val="008D3DBA"/>
    <w:rsid w:val="008D44CF"/>
    <w:rsid w:val="008D464B"/>
    <w:rsid w:val="008D62FC"/>
    <w:rsid w:val="008D745A"/>
    <w:rsid w:val="008D79F6"/>
    <w:rsid w:val="008D7AB2"/>
    <w:rsid w:val="008E0A74"/>
    <w:rsid w:val="008E1DB9"/>
    <w:rsid w:val="008E2184"/>
    <w:rsid w:val="008E3E93"/>
    <w:rsid w:val="008E3EC8"/>
    <w:rsid w:val="008E48AF"/>
    <w:rsid w:val="008E4BCA"/>
    <w:rsid w:val="008E77E8"/>
    <w:rsid w:val="008F1749"/>
    <w:rsid w:val="008F1C3D"/>
    <w:rsid w:val="008F44D0"/>
    <w:rsid w:val="008F484D"/>
    <w:rsid w:val="008F7271"/>
    <w:rsid w:val="008F7DED"/>
    <w:rsid w:val="00902107"/>
    <w:rsid w:val="009036A9"/>
    <w:rsid w:val="009044F7"/>
    <w:rsid w:val="009045DC"/>
    <w:rsid w:val="009050E2"/>
    <w:rsid w:val="00905161"/>
    <w:rsid w:val="00906553"/>
    <w:rsid w:val="00906AE2"/>
    <w:rsid w:val="00906F1F"/>
    <w:rsid w:val="0091070D"/>
    <w:rsid w:val="00911167"/>
    <w:rsid w:val="00911ADF"/>
    <w:rsid w:val="00912CFE"/>
    <w:rsid w:val="00913374"/>
    <w:rsid w:val="00913D68"/>
    <w:rsid w:val="009146A6"/>
    <w:rsid w:val="0091592D"/>
    <w:rsid w:val="00915A3D"/>
    <w:rsid w:val="00915FFD"/>
    <w:rsid w:val="0091600A"/>
    <w:rsid w:val="009169F7"/>
    <w:rsid w:val="00916A9A"/>
    <w:rsid w:val="00916CC4"/>
    <w:rsid w:val="00917793"/>
    <w:rsid w:val="00917C0F"/>
    <w:rsid w:val="00920559"/>
    <w:rsid w:val="00920BA1"/>
    <w:rsid w:val="0092136A"/>
    <w:rsid w:val="00922068"/>
    <w:rsid w:val="00922A56"/>
    <w:rsid w:val="00923247"/>
    <w:rsid w:val="009233C4"/>
    <w:rsid w:val="00924A80"/>
    <w:rsid w:val="00924B3B"/>
    <w:rsid w:val="00925D57"/>
    <w:rsid w:val="00926185"/>
    <w:rsid w:val="009265CD"/>
    <w:rsid w:val="00926825"/>
    <w:rsid w:val="00926DAF"/>
    <w:rsid w:val="00927230"/>
    <w:rsid w:val="00927C22"/>
    <w:rsid w:val="009300EE"/>
    <w:rsid w:val="00930178"/>
    <w:rsid w:val="009304C0"/>
    <w:rsid w:val="0093052F"/>
    <w:rsid w:val="00930783"/>
    <w:rsid w:val="00930C85"/>
    <w:rsid w:val="00930FDD"/>
    <w:rsid w:val="00932A55"/>
    <w:rsid w:val="00932D8A"/>
    <w:rsid w:val="00935114"/>
    <w:rsid w:val="00935708"/>
    <w:rsid w:val="0093680C"/>
    <w:rsid w:val="00936912"/>
    <w:rsid w:val="00936B55"/>
    <w:rsid w:val="00936FE3"/>
    <w:rsid w:val="00937283"/>
    <w:rsid w:val="0094009D"/>
    <w:rsid w:val="0094030D"/>
    <w:rsid w:val="00940558"/>
    <w:rsid w:val="0094057C"/>
    <w:rsid w:val="00940CB7"/>
    <w:rsid w:val="00941FC6"/>
    <w:rsid w:val="009423B1"/>
    <w:rsid w:val="009423CA"/>
    <w:rsid w:val="00944398"/>
    <w:rsid w:val="009443DE"/>
    <w:rsid w:val="0094532A"/>
    <w:rsid w:val="0094562D"/>
    <w:rsid w:val="00946194"/>
    <w:rsid w:val="009469B3"/>
    <w:rsid w:val="0095017C"/>
    <w:rsid w:val="009516D6"/>
    <w:rsid w:val="00951C31"/>
    <w:rsid w:val="00953EAA"/>
    <w:rsid w:val="0095486F"/>
    <w:rsid w:val="0095567F"/>
    <w:rsid w:val="00956B26"/>
    <w:rsid w:val="00956CE3"/>
    <w:rsid w:val="009570C6"/>
    <w:rsid w:val="00960B85"/>
    <w:rsid w:val="009616D9"/>
    <w:rsid w:val="00961932"/>
    <w:rsid w:val="009624A3"/>
    <w:rsid w:val="0096326B"/>
    <w:rsid w:val="00963325"/>
    <w:rsid w:val="00964E6D"/>
    <w:rsid w:val="0096686E"/>
    <w:rsid w:val="00966CA6"/>
    <w:rsid w:val="00966F4B"/>
    <w:rsid w:val="009678B6"/>
    <w:rsid w:val="00970840"/>
    <w:rsid w:val="00970E18"/>
    <w:rsid w:val="00972563"/>
    <w:rsid w:val="00972955"/>
    <w:rsid w:val="009739D7"/>
    <w:rsid w:val="009749FB"/>
    <w:rsid w:val="0097528E"/>
    <w:rsid w:val="009767EE"/>
    <w:rsid w:val="00976F94"/>
    <w:rsid w:val="0097759E"/>
    <w:rsid w:val="00980E20"/>
    <w:rsid w:val="00981898"/>
    <w:rsid w:val="00982A88"/>
    <w:rsid w:val="00983404"/>
    <w:rsid w:val="009835A7"/>
    <w:rsid w:val="00984490"/>
    <w:rsid w:val="00984DD2"/>
    <w:rsid w:val="00984E88"/>
    <w:rsid w:val="009858E9"/>
    <w:rsid w:val="0099052D"/>
    <w:rsid w:val="00991AED"/>
    <w:rsid w:val="00991DA4"/>
    <w:rsid w:val="00991F57"/>
    <w:rsid w:val="00992C48"/>
    <w:rsid w:val="00992F3C"/>
    <w:rsid w:val="00993060"/>
    <w:rsid w:val="009931BC"/>
    <w:rsid w:val="0099351C"/>
    <w:rsid w:val="00993557"/>
    <w:rsid w:val="00993641"/>
    <w:rsid w:val="00993E4D"/>
    <w:rsid w:val="00994D3D"/>
    <w:rsid w:val="0099523C"/>
    <w:rsid w:val="00995631"/>
    <w:rsid w:val="009965B5"/>
    <w:rsid w:val="009976E1"/>
    <w:rsid w:val="00997AB7"/>
    <w:rsid w:val="00997C03"/>
    <w:rsid w:val="009A0526"/>
    <w:rsid w:val="009A1058"/>
    <w:rsid w:val="009A150F"/>
    <w:rsid w:val="009A1B51"/>
    <w:rsid w:val="009A1C02"/>
    <w:rsid w:val="009A2979"/>
    <w:rsid w:val="009A2CFE"/>
    <w:rsid w:val="009A310A"/>
    <w:rsid w:val="009A34A9"/>
    <w:rsid w:val="009A3E0B"/>
    <w:rsid w:val="009A4125"/>
    <w:rsid w:val="009A48FA"/>
    <w:rsid w:val="009A7965"/>
    <w:rsid w:val="009A7F7E"/>
    <w:rsid w:val="009B10AA"/>
    <w:rsid w:val="009B1430"/>
    <w:rsid w:val="009B23D1"/>
    <w:rsid w:val="009B2667"/>
    <w:rsid w:val="009B33CB"/>
    <w:rsid w:val="009B3EAB"/>
    <w:rsid w:val="009B493B"/>
    <w:rsid w:val="009B5665"/>
    <w:rsid w:val="009B5E57"/>
    <w:rsid w:val="009B654C"/>
    <w:rsid w:val="009B6CE3"/>
    <w:rsid w:val="009B77D5"/>
    <w:rsid w:val="009B7950"/>
    <w:rsid w:val="009B7E54"/>
    <w:rsid w:val="009C015D"/>
    <w:rsid w:val="009C0B2F"/>
    <w:rsid w:val="009C0C70"/>
    <w:rsid w:val="009C3C4A"/>
    <w:rsid w:val="009C44FA"/>
    <w:rsid w:val="009C4D8F"/>
    <w:rsid w:val="009C4F39"/>
    <w:rsid w:val="009C5545"/>
    <w:rsid w:val="009C5701"/>
    <w:rsid w:val="009C6402"/>
    <w:rsid w:val="009C65F6"/>
    <w:rsid w:val="009C6F5D"/>
    <w:rsid w:val="009C7499"/>
    <w:rsid w:val="009C7C67"/>
    <w:rsid w:val="009D01A8"/>
    <w:rsid w:val="009D0FD8"/>
    <w:rsid w:val="009D170D"/>
    <w:rsid w:val="009D2586"/>
    <w:rsid w:val="009D2B5A"/>
    <w:rsid w:val="009D33E2"/>
    <w:rsid w:val="009D3570"/>
    <w:rsid w:val="009D37B8"/>
    <w:rsid w:val="009D3C3B"/>
    <w:rsid w:val="009D411A"/>
    <w:rsid w:val="009D42D7"/>
    <w:rsid w:val="009D4993"/>
    <w:rsid w:val="009D503B"/>
    <w:rsid w:val="009D6680"/>
    <w:rsid w:val="009D6D5C"/>
    <w:rsid w:val="009D7046"/>
    <w:rsid w:val="009D70FD"/>
    <w:rsid w:val="009D758C"/>
    <w:rsid w:val="009E01CD"/>
    <w:rsid w:val="009E13DA"/>
    <w:rsid w:val="009E18E1"/>
    <w:rsid w:val="009E2B9F"/>
    <w:rsid w:val="009E2E40"/>
    <w:rsid w:val="009E3426"/>
    <w:rsid w:val="009E455F"/>
    <w:rsid w:val="009E495D"/>
    <w:rsid w:val="009E4BDE"/>
    <w:rsid w:val="009E4D21"/>
    <w:rsid w:val="009E5908"/>
    <w:rsid w:val="009E5E5E"/>
    <w:rsid w:val="009E5F8C"/>
    <w:rsid w:val="009E68DA"/>
    <w:rsid w:val="009E718F"/>
    <w:rsid w:val="009F0FC7"/>
    <w:rsid w:val="009F144D"/>
    <w:rsid w:val="009F1D69"/>
    <w:rsid w:val="009F2C97"/>
    <w:rsid w:val="009F36CA"/>
    <w:rsid w:val="009F433D"/>
    <w:rsid w:val="009F441F"/>
    <w:rsid w:val="009F4BFB"/>
    <w:rsid w:val="009F4C2F"/>
    <w:rsid w:val="009F7187"/>
    <w:rsid w:val="009F75A9"/>
    <w:rsid w:val="009F7855"/>
    <w:rsid w:val="009F7872"/>
    <w:rsid w:val="00A002AC"/>
    <w:rsid w:val="00A03051"/>
    <w:rsid w:val="00A06DA8"/>
    <w:rsid w:val="00A07337"/>
    <w:rsid w:val="00A10759"/>
    <w:rsid w:val="00A10DAD"/>
    <w:rsid w:val="00A113BF"/>
    <w:rsid w:val="00A116B5"/>
    <w:rsid w:val="00A116C0"/>
    <w:rsid w:val="00A118A9"/>
    <w:rsid w:val="00A1199A"/>
    <w:rsid w:val="00A11B52"/>
    <w:rsid w:val="00A1266C"/>
    <w:rsid w:val="00A13719"/>
    <w:rsid w:val="00A13E7A"/>
    <w:rsid w:val="00A14FB0"/>
    <w:rsid w:val="00A1508A"/>
    <w:rsid w:val="00A1565C"/>
    <w:rsid w:val="00A1599A"/>
    <w:rsid w:val="00A163D5"/>
    <w:rsid w:val="00A17DED"/>
    <w:rsid w:val="00A2130C"/>
    <w:rsid w:val="00A2227E"/>
    <w:rsid w:val="00A22515"/>
    <w:rsid w:val="00A22D50"/>
    <w:rsid w:val="00A23C45"/>
    <w:rsid w:val="00A24313"/>
    <w:rsid w:val="00A25FA1"/>
    <w:rsid w:val="00A26404"/>
    <w:rsid w:val="00A264A5"/>
    <w:rsid w:val="00A26CAB"/>
    <w:rsid w:val="00A30975"/>
    <w:rsid w:val="00A31137"/>
    <w:rsid w:val="00A31ABA"/>
    <w:rsid w:val="00A36010"/>
    <w:rsid w:val="00A36118"/>
    <w:rsid w:val="00A36836"/>
    <w:rsid w:val="00A370D3"/>
    <w:rsid w:val="00A3763F"/>
    <w:rsid w:val="00A41B6A"/>
    <w:rsid w:val="00A41B7D"/>
    <w:rsid w:val="00A41C65"/>
    <w:rsid w:val="00A41DDD"/>
    <w:rsid w:val="00A41FF8"/>
    <w:rsid w:val="00A4200A"/>
    <w:rsid w:val="00A42A8B"/>
    <w:rsid w:val="00A42F53"/>
    <w:rsid w:val="00A4324E"/>
    <w:rsid w:val="00A43880"/>
    <w:rsid w:val="00A440D1"/>
    <w:rsid w:val="00A4455B"/>
    <w:rsid w:val="00A449A4"/>
    <w:rsid w:val="00A465CA"/>
    <w:rsid w:val="00A4746E"/>
    <w:rsid w:val="00A478EA"/>
    <w:rsid w:val="00A47D57"/>
    <w:rsid w:val="00A47FF4"/>
    <w:rsid w:val="00A503A5"/>
    <w:rsid w:val="00A5052E"/>
    <w:rsid w:val="00A511BE"/>
    <w:rsid w:val="00A51B56"/>
    <w:rsid w:val="00A51E52"/>
    <w:rsid w:val="00A5204E"/>
    <w:rsid w:val="00A522C8"/>
    <w:rsid w:val="00A535DE"/>
    <w:rsid w:val="00A53A6A"/>
    <w:rsid w:val="00A54BE0"/>
    <w:rsid w:val="00A55A86"/>
    <w:rsid w:val="00A560B2"/>
    <w:rsid w:val="00A5687E"/>
    <w:rsid w:val="00A600CF"/>
    <w:rsid w:val="00A60C86"/>
    <w:rsid w:val="00A6244D"/>
    <w:rsid w:val="00A62D25"/>
    <w:rsid w:val="00A63782"/>
    <w:rsid w:val="00A64985"/>
    <w:rsid w:val="00A65D17"/>
    <w:rsid w:val="00A665B2"/>
    <w:rsid w:val="00A6694A"/>
    <w:rsid w:val="00A66CD5"/>
    <w:rsid w:val="00A66E09"/>
    <w:rsid w:val="00A71630"/>
    <w:rsid w:val="00A72082"/>
    <w:rsid w:val="00A7228A"/>
    <w:rsid w:val="00A72DF2"/>
    <w:rsid w:val="00A73D32"/>
    <w:rsid w:val="00A741B6"/>
    <w:rsid w:val="00A743DA"/>
    <w:rsid w:val="00A746B0"/>
    <w:rsid w:val="00A75E9F"/>
    <w:rsid w:val="00A764EE"/>
    <w:rsid w:val="00A77540"/>
    <w:rsid w:val="00A779DA"/>
    <w:rsid w:val="00A80621"/>
    <w:rsid w:val="00A810DE"/>
    <w:rsid w:val="00A81BB5"/>
    <w:rsid w:val="00A81BEE"/>
    <w:rsid w:val="00A82559"/>
    <w:rsid w:val="00A8295C"/>
    <w:rsid w:val="00A82A3A"/>
    <w:rsid w:val="00A83873"/>
    <w:rsid w:val="00A83C10"/>
    <w:rsid w:val="00A84851"/>
    <w:rsid w:val="00A85D0D"/>
    <w:rsid w:val="00A86882"/>
    <w:rsid w:val="00A875F6"/>
    <w:rsid w:val="00A9001E"/>
    <w:rsid w:val="00A906CC"/>
    <w:rsid w:val="00A91109"/>
    <w:rsid w:val="00A91AEA"/>
    <w:rsid w:val="00A91C46"/>
    <w:rsid w:val="00A92107"/>
    <w:rsid w:val="00A925E2"/>
    <w:rsid w:val="00A9289A"/>
    <w:rsid w:val="00A9340A"/>
    <w:rsid w:val="00A9397E"/>
    <w:rsid w:val="00A93FDE"/>
    <w:rsid w:val="00A94A8D"/>
    <w:rsid w:val="00A95D08"/>
    <w:rsid w:val="00A962B7"/>
    <w:rsid w:val="00A97419"/>
    <w:rsid w:val="00A97DCB"/>
    <w:rsid w:val="00AA0291"/>
    <w:rsid w:val="00AA070D"/>
    <w:rsid w:val="00AA26C5"/>
    <w:rsid w:val="00AA3EDB"/>
    <w:rsid w:val="00AA4623"/>
    <w:rsid w:val="00AA4AB6"/>
    <w:rsid w:val="00AA5DE4"/>
    <w:rsid w:val="00AA5F88"/>
    <w:rsid w:val="00AA6BA0"/>
    <w:rsid w:val="00AA6CDE"/>
    <w:rsid w:val="00AA7F85"/>
    <w:rsid w:val="00AA7FBA"/>
    <w:rsid w:val="00AB006B"/>
    <w:rsid w:val="00AB0A25"/>
    <w:rsid w:val="00AB0A84"/>
    <w:rsid w:val="00AB1604"/>
    <w:rsid w:val="00AB2649"/>
    <w:rsid w:val="00AB2B8A"/>
    <w:rsid w:val="00AB49CC"/>
    <w:rsid w:val="00AB5638"/>
    <w:rsid w:val="00AB5EEF"/>
    <w:rsid w:val="00AB62A5"/>
    <w:rsid w:val="00AB6716"/>
    <w:rsid w:val="00AB690E"/>
    <w:rsid w:val="00AB7A9C"/>
    <w:rsid w:val="00AB7E79"/>
    <w:rsid w:val="00AC063F"/>
    <w:rsid w:val="00AC19BC"/>
    <w:rsid w:val="00AC28B1"/>
    <w:rsid w:val="00AC2BBB"/>
    <w:rsid w:val="00AC303F"/>
    <w:rsid w:val="00AC36F4"/>
    <w:rsid w:val="00AC6B08"/>
    <w:rsid w:val="00AC6F9A"/>
    <w:rsid w:val="00AC76CF"/>
    <w:rsid w:val="00AD01EB"/>
    <w:rsid w:val="00AD0505"/>
    <w:rsid w:val="00AD0700"/>
    <w:rsid w:val="00AD0AC8"/>
    <w:rsid w:val="00AD14B2"/>
    <w:rsid w:val="00AD2CA7"/>
    <w:rsid w:val="00AD32D8"/>
    <w:rsid w:val="00AD3796"/>
    <w:rsid w:val="00AD3CDA"/>
    <w:rsid w:val="00AD3FEA"/>
    <w:rsid w:val="00AD415C"/>
    <w:rsid w:val="00AD4CCF"/>
    <w:rsid w:val="00AD4F3A"/>
    <w:rsid w:val="00AD7246"/>
    <w:rsid w:val="00AD7BE9"/>
    <w:rsid w:val="00AE0233"/>
    <w:rsid w:val="00AE0B84"/>
    <w:rsid w:val="00AE1368"/>
    <w:rsid w:val="00AE1679"/>
    <w:rsid w:val="00AE23FF"/>
    <w:rsid w:val="00AE260E"/>
    <w:rsid w:val="00AE27D7"/>
    <w:rsid w:val="00AE2947"/>
    <w:rsid w:val="00AE4942"/>
    <w:rsid w:val="00AE4A81"/>
    <w:rsid w:val="00AE62EF"/>
    <w:rsid w:val="00AE65C1"/>
    <w:rsid w:val="00AE6B76"/>
    <w:rsid w:val="00AE7031"/>
    <w:rsid w:val="00AE745B"/>
    <w:rsid w:val="00AE76E6"/>
    <w:rsid w:val="00AE7EDE"/>
    <w:rsid w:val="00AE7F82"/>
    <w:rsid w:val="00AF0A59"/>
    <w:rsid w:val="00AF2A35"/>
    <w:rsid w:val="00AF2AD6"/>
    <w:rsid w:val="00AF2C09"/>
    <w:rsid w:val="00AF2C16"/>
    <w:rsid w:val="00AF3428"/>
    <w:rsid w:val="00AF3BFA"/>
    <w:rsid w:val="00AF578F"/>
    <w:rsid w:val="00AF5F3B"/>
    <w:rsid w:val="00AF62E0"/>
    <w:rsid w:val="00AF6470"/>
    <w:rsid w:val="00AF6A71"/>
    <w:rsid w:val="00AF760C"/>
    <w:rsid w:val="00AF7DA9"/>
    <w:rsid w:val="00B0000A"/>
    <w:rsid w:val="00B0409D"/>
    <w:rsid w:val="00B04CD8"/>
    <w:rsid w:val="00B05531"/>
    <w:rsid w:val="00B05B10"/>
    <w:rsid w:val="00B06C26"/>
    <w:rsid w:val="00B06E93"/>
    <w:rsid w:val="00B07F7B"/>
    <w:rsid w:val="00B100F8"/>
    <w:rsid w:val="00B11365"/>
    <w:rsid w:val="00B1169B"/>
    <w:rsid w:val="00B13263"/>
    <w:rsid w:val="00B1347D"/>
    <w:rsid w:val="00B1449E"/>
    <w:rsid w:val="00B14863"/>
    <w:rsid w:val="00B14E6C"/>
    <w:rsid w:val="00B14F12"/>
    <w:rsid w:val="00B168A0"/>
    <w:rsid w:val="00B17420"/>
    <w:rsid w:val="00B17E3E"/>
    <w:rsid w:val="00B20B58"/>
    <w:rsid w:val="00B20F3F"/>
    <w:rsid w:val="00B2146F"/>
    <w:rsid w:val="00B2195D"/>
    <w:rsid w:val="00B2219F"/>
    <w:rsid w:val="00B2268E"/>
    <w:rsid w:val="00B22A30"/>
    <w:rsid w:val="00B239AE"/>
    <w:rsid w:val="00B24596"/>
    <w:rsid w:val="00B248DC"/>
    <w:rsid w:val="00B248E7"/>
    <w:rsid w:val="00B24DD6"/>
    <w:rsid w:val="00B25053"/>
    <w:rsid w:val="00B25446"/>
    <w:rsid w:val="00B254DC"/>
    <w:rsid w:val="00B25DDF"/>
    <w:rsid w:val="00B25DEE"/>
    <w:rsid w:val="00B26313"/>
    <w:rsid w:val="00B26AFC"/>
    <w:rsid w:val="00B26F24"/>
    <w:rsid w:val="00B27225"/>
    <w:rsid w:val="00B2783E"/>
    <w:rsid w:val="00B31442"/>
    <w:rsid w:val="00B31BA5"/>
    <w:rsid w:val="00B31BFC"/>
    <w:rsid w:val="00B32413"/>
    <w:rsid w:val="00B32586"/>
    <w:rsid w:val="00B325F8"/>
    <w:rsid w:val="00B32AA5"/>
    <w:rsid w:val="00B33227"/>
    <w:rsid w:val="00B332BC"/>
    <w:rsid w:val="00B33475"/>
    <w:rsid w:val="00B33515"/>
    <w:rsid w:val="00B3479D"/>
    <w:rsid w:val="00B34823"/>
    <w:rsid w:val="00B34A54"/>
    <w:rsid w:val="00B34FF9"/>
    <w:rsid w:val="00B35560"/>
    <w:rsid w:val="00B36E3A"/>
    <w:rsid w:val="00B374D0"/>
    <w:rsid w:val="00B37934"/>
    <w:rsid w:val="00B405D6"/>
    <w:rsid w:val="00B42A7E"/>
    <w:rsid w:val="00B42A8F"/>
    <w:rsid w:val="00B42CB7"/>
    <w:rsid w:val="00B43D0F"/>
    <w:rsid w:val="00B44768"/>
    <w:rsid w:val="00B45766"/>
    <w:rsid w:val="00B45AD2"/>
    <w:rsid w:val="00B45D6B"/>
    <w:rsid w:val="00B463F9"/>
    <w:rsid w:val="00B4776D"/>
    <w:rsid w:val="00B477D2"/>
    <w:rsid w:val="00B47984"/>
    <w:rsid w:val="00B50EAF"/>
    <w:rsid w:val="00B52958"/>
    <w:rsid w:val="00B52FE4"/>
    <w:rsid w:val="00B53492"/>
    <w:rsid w:val="00B5379A"/>
    <w:rsid w:val="00B5455C"/>
    <w:rsid w:val="00B54AA4"/>
    <w:rsid w:val="00B54BAA"/>
    <w:rsid w:val="00B5561A"/>
    <w:rsid w:val="00B5655D"/>
    <w:rsid w:val="00B57C64"/>
    <w:rsid w:val="00B60270"/>
    <w:rsid w:val="00B61D75"/>
    <w:rsid w:val="00B6221E"/>
    <w:rsid w:val="00B62613"/>
    <w:rsid w:val="00B62937"/>
    <w:rsid w:val="00B62E13"/>
    <w:rsid w:val="00B63386"/>
    <w:rsid w:val="00B6386B"/>
    <w:rsid w:val="00B63DDD"/>
    <w:rsid w:val="00B6626E"/>
    <w:rsid w:val="00B66392"/>
    <w:rsid w:val="00B663F2"/>
    <w:rsid w:val="00B675A9"/>
    <w:rsid w:val="00B67E22"/>
    <w:rsid w:val="00B70270"/>
    <w:rsid w:val="00B70815"/>
    <w:rsid w:val="00B70CD9"/>
    <w:rsid w:val="00B71035"/>
    <w:rsid w:val="00B712CE"/>
    <w:rsid w:val="00B72FBD"/>
    <w:rsid w:val="00B73646"/>
    <w:rsid w:val="00B75109"/>
    <w:rsid w:val="00B75CDA"/>
    <w:rsid w:val="00B770B1"/>
    <w:rsid w:val="00B775C9"/>
    <w:rsid w:val="00B77D96"/>
    <w:rsid w:val="00B80289"/>
    <w:rsid w:val="00B80321"/>
    <w:rsid w:val="00B81628"/>
    <w:rsid w:val="00B82F97"/>
    <w:rsid w:val="00B849BF"/>
    <w:rsid w:val="00B84A8D"/>
    <w:rsid w:val="00B84B60"/>
    <w:rsid w:val="00B8544B"/>
    <w:rsid w:val="00B854E3"/>
    <w:rsid w:val="00B87218"/>
    <w:rsid w:val="00B87A28"/>
    <w:rsid w:val="00B90651"/>
    <w:rsid w:val="00B9337E"/>
    <w:rsid w:val="00B941B1"/>
    <w:rsid w:val="00B943B3"/>
    <w:rsid w:val="00B95E0F"/>
    <w:rsid w:val="00B960F3"/>
    <w:rsid w:val="00B96FC3"/>
    <w:rsid w:val="00B97F64"/>
    <w:rsid w:val="00BA068D"/>
    <w:rsid w:val="00BA0EFD"/>
    <w:rsid w:val="00BA11D3"/>
    <w:rsid w:val="00BA24CB"/>
    <w:rsid w:val="00BA2727"/>
    <w:rsid w:val="00BA3CB4"/>
    <w:rsid w:val="00BA3E2A"/>
    <w:rsid w:val="00BA3ED7"/>
    <w:rsid w:val="00BA4A15"/>
    <w:rsid w:val="00BA72D1"/>
    <w:rsid w:val="00BA74ED"/>
    <w:rsid w:val="00BA7A3A"/>
    <w:rsid w:val="00BA7B4A"/>
    <w:rsid w:val="00BB0495"/>
    <w:rsid w:val="00BB0DD7"/>
    <w:rsid w:val="00BB12E3"/>
    <w:rsid w:val="00BB1E20"/>
    <w:rsid w:val="00BB21E8"/>
    <w:rsid w:val="00BB3A00"/>
    <w:rsid w:val="00BB3E37"/>
    <w:rsid w:val="00BB3EFA"/>
    <w:rsid w:val="00BB50FA"/>
    <w:rsid w:val="00BB55E6"/>
    <w:rsid w:val="00BB55F2"/>
    <w:rsid w:val="00BB6A3F"/>
    <w:rsid w:val="00BB6AFB"/>
    <w:rsid w:val="00BB70EE"/>
    <w:rsid w:val="00BB7274"/>
    <w:rsid w:val="00BC22D7"/>
    <w:rsid w:val="00BC23BD"/>
    <w:rsid w:val="00BC29A3"/>
    <w:rsid w:val="00BC2A17"/>
    <w:rsid w:val="00BC339D"/>
    <w:rsid w:val="00BC37FC"/>
    <w:rsid w:val="00BC3A91"/>
    <w:rsid w:val="00BC406C"/>
    <w:rsid w:val="00BC48A1"/>
    <w:rsid w:val="00BC55FE"/>
    <w:rsid w:val="00BC58D7"/>
    <w:rsid w:val="00BC65D5"/>
    <w:rsid w:val="00BD0561"/>
    <w:rsid w:val="00BD0986"/>
    <w:rsid w:val="00BD291D"/>
    <w:rsid w:val="00BD308B"/>
    <w:rsid w:val="00BD3AD8"/>
    <w:rsid w:val="00BD457D"/>
    <w:rsid w:val="00BD58F0"/>
    <w:rsid w:val="00BD5CE2"/>
    <w:rsid w:val="00BD65B4"/>
    <w:rsid w:val="00BD73D5"/>
    <w:rsid w:val="00BD7854"/>
    <w:rsid w:val="00BE076A"/>
    <w:rsid w:val="00BE0D67"/>
    <w:rsid w:val="00BE1373"/>
    <w:rsid w:val="00BE1B6F"/>
    <w:rsid w:val="00BE20B8"/>
    <w:rsid w:val="00BE2131"/>
    <w:rsid w:val="00BE2793"/>
    <w:rsid w:val="00BE2A45"/>
    <w:rsid w:val="00BE2A51"/>
    <w:rsid w:val="00BE4C8D"/>
    <w:rsid w:val="00BE506D"/>
    <w:rsid w:val="00BE5F52"/>
    <w:rsid w:val="00BE6554"/>
    <w:rsid w:val="00BE6A66"/>
    <w:rsid w:val="00BE7EA0"/>
    <w:rsid w:val="00BF03EB"/>
    <w:rsid w:val="00BF0AD4"/>
    <w:rsid w:val="00BF10EA"/>
    <w:rsid w:val="00BF17A7"/>
    <w:rsid w:val="00BF1CB6"/>
    <w:rsid w:val="00BF23BD"/>
    <w:rsid w:val="00BF30B2"/>
    <w:rsid w:val="00BF3356"/>
    <w:rsid w:val="00BF3666"/>
    <w:rsid w:val="00BF374C"/>
    <w:rsid w:val="00BF3B0E"/>
    <w:rsid w:val="00BF3C6B"/>
    <w:rsid w:val="00BF563B"/>
    <w:rsid w:val="00BF6080"/>
    <w:rsid w:val="00BF6C08"/>
    <w:rsid w:val="00BF77E1"/>
    <w:rsid w:val="00BF788B"/>
    <w:rsid w:val="00BF79A1"/>
    <w:rsid w:val="00BF7BE8"/>
    <w:rsid w:val="00C001A8"/>
    <w:rsid w:val="00C0081B"/>
    <w:rsid w:val="00C012CE"/>
    <w:rsid w:val="00C02159"/>
    <w:rsid w:val="00C0286E"/>
    <w:rsid w:val="00C02EF3"/>
    <w:rsid w:val="00C030BC"/>
    <w:rsid w:val="00C0346F"/>
    <w:rsid w:val="00C04629"/>
    <w:rsid w:val="00C046BC"/>
    <w:rsid w:val="00C04926"/>
    <w:rsid w:val="00C04E2F"/>
    <w:rsid w:val="00C05BFF"/>
    <w:rsid w:val="00C06578"/>
    <w:rsid w:val="00C065D3"/>
    <w:rsid w:val="00C068C6"/>
    <w:rsid w:val="00C06954"/>
    <w:rsid w:val="00C06B0D"/>
    <w:rsid w:val="00C06E72"/>
    <w:rsid w:val="00C0795D"/>
    <w:rsid w:val="00C07AEC"/>
    <w:rsid w:val="00C07B40"/>
    <w:rsid w:val="00C07BE7"/>
    <w:rsid w:val="00C07FC4"/>
    <w:rsid w:val="00C100EE"/>
    <w:rsid w:val="00C10247"/>
    <w:rsid w:val="00C10907"/>
    <w:rsid w:val="00C10B9B"/>
    <w:rsid w:val="00C11A97"/>
    <w:rsid w:val="00C11E2A"/>
    <w:rsid w:val="00C128ED"/>
    <w:rsid w:val="00C12C3C"/>
    <w:rsid w:val="00C13769"/>
    <w:rsid w:val="00C137A6"/>
    <w:rsid w:val="00C15310"/>
    <w:rsid w:val="00C157FA"/>
    <w:rsid w:val="00C15FA5"/>
    <w:rsid w:val="00C20FF6"/>
    <w:rsid w:val="00C21F61"/>
    <w:rsid w:val="00C222C2"/>
    <w:rsid w:val="00C22B54"/>
    <w:rsid w:val="00C22C0B"/>
    <w:rsid w:val="00C24A09"/>
    <w:rsid w:val="00C267AB"/>
    <w:rsid w:val="00C26D4D"/>
    <w:rsid w:val="00C2709C"/>
    <w:rsid w:val="00C275B7"/>
    <w:rsid w:val="00C27AB7"/>
    <w:rsid w:val="00C30447"/>
    <w:rsid w:val="00C30FB1"/>
    <w:rsid w:val="00C318E5"/>
    <w:rsid w:val="00C32435"/>
    <w:rsid w:val="00C34B3B"/>
    <w:rsid w:val="00C364D4"/>
    <w:rsid w:val="00C368EF"/>
    <w:rsid w:val="00C36F39"/>
    <w:rsid w:val="00C41207"/>
    <w:rsid w:val="00C417DF"/>
    <w:rsid w:val="00C41B86"/>
    <w:rsid w:val="00C420FB"/>
    <w:rsid w:val="00C42E75"/>
    <w:rsid w:val="00C44621"/>
    <w:rsid w:val="00C44998"/>
    <w:rsid w:val="00C44C04"/>
    <w:rsid w:val="00C45340"/>
    <w:rsid w:val="00C4552E"/>
    <w:rsid w:val="00C458EB"/>
    <w:rsid w:val="00C45E71"/>
    <w:rsid w:val="00C46650"/>
    <w:rsid w:val="00C467C2"/>
    <w:rsid w:val="00C47ECD"/>
    <w:rsid w:val="00C52217"/>
    <w:rsid w:val="00C52261"/>
    <w:rsid w:val="00C53381"/>
    <w:rsid w:val="00C54EED"/>
    <w:rsid w:val="00C558CE"/>
    <w:rsid w:val="00C602F6"/>
    <w:rsid w:val="00C607F8"/>
    <w:rsid w:val="00C60B4A"/>
    <w:rsid w:val="00C622E0"/>
    <w:rsid w:val="00C62C1B"/>
    <w:rsid w:val="00C63632"/>
    <w:rsid w:val="00C63CCF"/>
    <w:rsid w:val="00C64E78"/>
    <w:rsid w:val="00C65969"/>
    <w:rsid w:val="00C65F8B"/>
    <w:rsid w:val="00C70794"/>
    <w:rsid w:val="00C707FD"/>
    <w:rsid w:val="00C70B35"/>
    <w:rsid w:val="00C715F5"/>
    <w:rsid w:val="00C7164D"/>
    <w:rsid w:val="00C719E1"/>
    <w:rsid w:val="00C723D3"/>
    <w:rsid w:val="00C724B4"/>
    <w:rsid w:val="00C72D39"/>
    <w:rsid w:val="00C72E97"/>
    <w:rsid w:val="00C734B0"/>
    <w:rsid w:val="00C73C03"/>
    <w:rsid w:val="00C73DC5"/>
    <w:rsid w:val="00C749F8"/>
    <w:rsid w:val="00C74DAE"/>
    <w:rsid w:val="00C75C44"/>
    <w:rsid w:val="00C75D36"/>
    <w:rsid w:val="00C8073E"/>
    <w:rsid w:val="00C80CAC"/>
    <w:rsid w:val="00C81892"/>
    <w:rsid w:val="00C81950"/>
    <w:rsid w:val="00C82475"/>
    <w:rsid w:val="00C82B14"/>
    <w:rsid w:val="00C82F31"/>
    <w:rsid w:val="00C8448C"/>
    <w:rsid w:val="00C85A41"/>
    <w:rsid w:val="00C87440"/>
    <w:rsid w:val="00C878A9"/>
    <w:rsid w:val="00C9020D"/>
    <w:rsid w:val="00C90E69"/>
    <w:rsid w:val="00C915FC"/>
    <w:rsid w:val="00C923EA"/>
    <w:rsid w:val="00C926E2"/>
    <w:rsid w:val="00C92F81"/>
    <w:rsid w:val="00C93187"/>
    <w:rsid w:val="00C9319F"/>
    <w:rsid w:val="00C93617"/>
    <w:rsid w:val="00C93F49"/>
    <w:rsid w:val="00C94558"/>
    <w:rsid w:val="00C94A6C"/>
    <w:rsid w:val="00C94E3F"/>
    <w:rsid w:val="00C94F70"/>
    <w:rsid w:val="00C95155"/>
    <w:rsid w:val="00C9684C"/>
    <w:rsid w:val="00C96BF6"/>
    <w:rsid w:val="00C96C8E"/>
    <w:rsid w:val="00C9724F"/>
    <w:rsid w:val="00C977FE"/>
    <w:rsid w:val="00C97D36"/>
    <w:rsid w:val="00CA0D9E"/>
    <w:rsid w:val="00CA1889"/>
    <w:rsid w:val="00CA1BED"/>
    <w:rsid w:val="00CA1C7A"/>
    <w:rsid w:val="00CA25D9"/>
    <w:rsid w:val="00CA27BD"/>
    <w:rsid w:val="00CA2A27"/>
    <w:rsid w:val="00CA2E09"/>
    <w:rsid w:val="00CA3F6C"/>
    <w:rsid w:val="00CA4FD5"/>
    <w:rsid w:val="00CA669E"/>
    <w:rsid w:val="00CA738D"/>
    <w:rsid w:val="00CA7443"/>
    <w:rsid w:val="00CB05DE"/>
    <w:rsid w:val="00CB179C"/>
    <w:rsid w:val="00CB2C47"/>
    <w:rsid w:val="00CB2C81"/>
    <w:rsid w:val="00CB32BB"/>
    <w:rsid w:val="00CB3D9A"/>
    <w:rsid w:val="00CB4F80"/>
    <w:rsid w:val="00CB6323"/>
    <w:rsid w:val="00CB7BA4"/>
    <w:rsid w:val="00CB7BF0"/>
    <w:rsid w:val="00CC00D5"/>
    <w:rsid w:val="00CC04EC"/>
    <w:rsid w:val="00CC0719"/>
    <w:rsid w:val="00CC0CB6"/>
    <w:rsid w:val="00CC1154"/>
    <w:rsid w:val="00CC12D8"/>
    <w:rsid w:val="00CC159B"/>
    <w:rsid w:val="00CC194E"/>
    <w:rsid w:val="00CC2D1D"/>
    <w:rsid w:val="00CC3F78"/>
    <w:rsid w:val="00CC4BED"/>
    <w:rsid w:val="00CC4DFA"/>
    <w:rsid w:val="00CC53F7"/>
    <w:rsid w:val="00CD01AC"/>
    <w:rsid w:val="00CD07BA"/>
    <w:rsid w:val="00CD123A"/>
    <w:rsid w:val="00CD1A20"/>
    <w:rsid w:val="00CD2C11"/>
    <w:rsid w:val="00CD2D24"/>
    <w:rsid w:val="00CD2D42"/>
    <w:rsid w:val="00CD2F10"/>
    <w:rsid w:val="00CD340E"/>
    <w:rsid w:val="00CD4030"/>
    <w:rsid w:val="00CD4BBD"/>
    <w:rsid w:val="00CD4DB9"/>
    <w:rsid w:val="00CD5726"/>
    <w:rsid w:val="00CD5F05"/>
    <w:rsid w:val="00CD6445"/>
    <w:rsid w:val="00CD66D1"/>
    <w:rsid w:val="00CD6920"/>
    <w:rsid w:val="00CD69D9"/>
    <w:rsid w:val="00CD730A"/>
    <w:rsid w:val="00CE0891"/>
    <w:rsid w:val="00CE3AF4"/>
    <w:rsid w:val="00CE3BD6"/>
    <w:rsid w:val="00CE45E5"/>
    <w:rsid w:val="00CE4E17"/>
    <w:rsid w:val="00CE5323"/>
    <w:rsid w:val="00CE7D58"/>
    <w:rsid w:val="00CF057B"/>
    <w:rsid w:val="00CF0D4B"/>
    <w:rsid w:val="00CF1350"/>
    <w:rsid w:val="00CF1930"/>
    <w:rsid w:val="00CF20EA"/>
    <w:rsid w:val="00CF2B72"/>
    <w:rsid w:val="00CF301E"/>
    <w:rsid w:val="00CF303D"/>
    <w:rsid w:val="00CF4251"/>
    <w:rsid w:val="00CF4CB0"/>
    <w:rsid w:val="00CF6336"/>
    <w:rsid w:val="00CF6915"/>
    <w:rsid w:val="00CF6B43"/>
    <w:rsid w:val="00CF6C32"/>
    <w:rsid w:val="00CF707F"/>
    <w:rsid w:val="00D00B8D"/>
    <w:rsid w:val="00D01C01"/>
    <w:rsid w:val="00D020E7"/>
    <w:rsid w:val="00D02261"/>
    <w:rsid w:val="00D032AC"/>
    <w:rsid w:val="00D033FA"/>
    <w:rsid w:val="00D05F36"/>
    <w:rsid w:val="00D06B40"/>
    <w:rsid w:val="00D073F8"/>
    <w:rsid w:val="00D104C4"/>
    <w:rsid w:val="00D10894"/>
    <w:rsid w:val="00D1193A"/>
    <w:rsid w:val="00D12F05"/>
    <w:rsid w:val="00D14465"/>
    <w:rsid w:val="00D150A7"/>
    <w:rsid w:val="00D155E0"/>
    <w:rsid w:val="00D15AC6"/>
    <w:rsid w:val="00D1679B"/>
    <w:rsid w:val="00D2115D"/>
    <w:rsid w:val="00D22CE6"/>
    <w:rsid w:val="00D23688"/>
    <w:rsid w:val="00D23C29"/>
    <w:rsid w:val="00D23DE2"/>
    <w:rsid w:val="00D242AE"/>
    <w:rsid w:val="00D2470A"/>
    <w:rsid w:val="00D24C25"/>
    <w:rsid w:val="00D24D83"/>
    <w:rsid w:val="00D25612"/>
    <w:rsid w:val="00D2582C"/>
    <w:rsid w:val="00D26AA0"/>
    <w:rsid w:val="00D27AEA"/>
    <w:rsid w:val="00D30233"/>
    <w:rsid w:val="00D31153"/>
    <w:rsid w:val="00D31A3C"/>
    <w:rsid w:val="00D31BAA"/>
    <w:rsid w:val="00D3298F"/>
    <w:rsid w:val="00D32C95"/>
    <w:rsid w:val="00D35B3F"/>
    <w:rsid w:val="00D36647"/>
    <w:rsid w:val="00D36927"/>
    <w:rsid w:val="00D40CE5"/>
    <w:rsid w:val="00D41198"/>
    <w:rsid w:val="00D4131A"/>
    <w:rsid w:val="00D41339"/>
    <w:rsid w:val="00D4282F"/>
    <w:rsid w:val="00D428D9"/>
    <w:rsid w:val="00D45625"/>
    <w:rsid w:val="00D45B90"/>
    <w:rsid w:val="00D46076"/>
    <w:rsid w:val="00D4628E"/>
    <w:rsid w:val="00D46346"/>
    <w:rsid w:val="00D465B3"/>
    <w:rsid w:val="00D4665C"/>
    <w:rsid w:val="00D46877"/>
    <w:rsid w:val="00D46CB2"/>
    <w:rsid w:val="00D46CCD"/>
    <w:rsid w:val="00D4758F"/>
    <w:rsid w:val="00D4761E"/>
    <w:rsid w:val="00D476B9"/>
    <w:rsid w:val="00D51A4B"/>
    <w:rsid w:val="00D529AF"/>
    <w:rsid w:val="00D53118"/>
    <w:rsid w:val="00D533A7"/>
    <w:rsid w:val="00D53463"/>
    <w:rsid w:val="00D5347A"/>
    <w:rsid w:val="00D534C1"/>
    <w:rsid w:val="00D53948"/>
    <w:rsid w:val="00D53AAF"/>
    <w:rsid w:val="00D53D2D"/>
    <w:rsid w:val="00D53D3B"/>
    <w:rsid w:val="00D5406E"/>
    <w:rsid w:val="00D542CC"/>
    <w:rsid w:val="00D54F34"/>
    <w:rsid w:val="00D55039"/>
    <w:rsid w:val="00D550B2"/>
    <w:rsid w:val="00D55F06"/>
    <w:rsid w:val="00D56118"/>
    <w:rsid w:val="00D57641"/>
    <w:rsid w:val="00D602D8"/>
    <w:rsid w:val="00D61D16"/>
    <w:rsid w:val="00D621EF"/>
    <w:rsid w:val="00D625D1"/>
    <w:rsid w:val="00D62BE1"/>
    <w:rsid w:val="00D62CE1"/>
    <w:rsid w:val="00D634C2"/>
    <w:rsid w:val="00D63CE6"/>
    <w:rsid w:val="00D63E95"/>
    <w:rsid w:val="00D63E9C"/>
    <w:rsid w:val="00D6416A"/>
    <w:rsid w:val="00D64444"/>
    <w:rsid w:val="00D651FD"/>
    <w:rsid w:val="00D65962"/>
    <w:rsid w:val="00D66DB6"/>
    <w:rsid w:val="00D67187"/>
    <w:rsid w:val="00D67885"/>
    <w:rsid w:val="00D67D78"/>
    <w:rsid w:val="00D708CC"/>
    <w:rsid w:val="00D710B7"/>
    <w:rsid w:val="00D71287"/>
    <w:rsid w:val="00D715FF"/>
    <w:rsid w:val="00D72A3D"/>
    <w:rsid w:val="00D72D66"/>
    <w:rsid w:val="00D731B3"/>
    <w:rsid w:val="00D7382A"/>
    <w:rsid w:val="00D744DD"/>
    <w:rsid w:val="00D74AB2"/>
    <w:rsid w:val="00D74EE9"/>
    <w:rsid w:val="00D74F1D"/>
    <w:rsid w:val="00D753D6"/>
    <w:rsid w:val="00D80817"/>
    <w:rsid w:val="00D80FAD"/>
    <w:rsid w:val="00D810CD"/>
    <w:rsid w:val="00D8137B"/>
    <w:rsid w:val="00D81802"/>
    <w:rsid w:val="00D82D83"/>
    <w:rsid w:val="00D8303F"/>
    <w:rsid w:val="00D83174"/>
    <w:rsid w:val="00D8326C"/>
    <w:rsid w:val="00D83C9D"/>
    <w:rsid w:val="00D8675C"/>
    <w:rsid w:val="00D867D2"/>
    <w:rsid w:val="00D87C44"/>
    <w:rsid w:val="00D909B0"/>
    <w:rsid w:val="00D909ED"/>
    <w:rsid w:val="00D91102"/>
    <w:rsid w:val="00D91226"/>
    <w:rsid w:val="00D91A31"/>
    <w:rsid w:val="00D92499"/>
    <w:rsid w:val="00D927AC"/>
    <w:rsid w:val="00D92A22"/>
    <w:rsid w:val="00D93B4E"/>
    <w:rsid w:val="00D93D3D"/>
    <w:rsid w:val="00D93D82"/>
    <w:rsid w:val="00D942AB"/>
    <w:rsid w:val="00D94529"/>
    <w:rsid w:val="00D94604"/>
    <w:rsid w:val="00D95626"/>
    <w:rsid w:val="00D95B5F"/>
    <w:rsid w:val="00D95C81"/>
    <w:rsid w:val="00D95FDE"/>
    <w:rsid w:val="00D96072"/>
    <w:rsid w:val="00D96721"/>
    <w:rsid w:val="00D96A3F"/>
    <w:rsid w:val="00D96C5D"/>
    <w:rsid w:val="00DA04B2"/>
    <w:rsid w:val="00DA1A58"/>
    <w:rsid w:val="00DA2DB4"/>
    <w:rsid w:val="00DA3F78"/>
    <w:rsid w:val="00DA414C"/>
    <w:rsid w:val="00DA45D2"/>
    <w:rsid w:val="00DA55B6"/>
    <w:rsid w:val="00DA5695"/>
    <w:rsid w:val="00DA593C"/>
    <w:rsid w:val="00DA665A"/>
    <w:rsid w:val="00DA6EAA"/>
    <w:rsid w:val="00DA79FF"/>
    <w:rsid w:val="00DA7C7D"/>
    <w:rsid w:val="00DB0AC7"/>
    <w:rsid w:val="00DB1143"/>
    <w:rsid w:val="00DB17C2"/>
    <w:rsid w:val="00DB224D"/>
    <w:rsid w:val="00DB60D8"/>
    <w:rsid w:val="00DB6693"/>
    <w:rsid w:val="00DB6CA8"/>
    <w:rsid w:val="00DB7069"/>
    <w:rsid w:val="00DC28FF"/>
    <w:rsid w:val="00DC2F50"/>
    <w:rsid w:val="00DC34E4"/>
    <w:rsid w:val="00DC35D0"/>
    <w:rsid w:val="00DC4235"/>
    <w:rsid w:val="00DC43C0"/>
    <w:rsid w:val="00DC44E1"/>
    <w:rsid w:val="00DC4965"/>
    <w:rsid w:val="00DC4FBB"/>
    <w:rsid w:val="00DC5DD2"/>
    <w:rsid w:val="00DC6346"/>
    <w:rsid w:val="00DC73F4"/>
    <w:rsid w:val="00DC7667"/>
    <w:rsid w:val="00DC7A1C"/>
    <w:rsid w:val="00DD03CD"/>
    <w:rsid w:val="00DD15DF"/>
    <w:rsid w:val="00DD1C1A"/>
    <w:rsid w:val="00DD210B"/>
    <w:rsid w:val="00DD3260"/>
    <w:rsid w:val="00DD328D"/>
    <w:rsid w:val="00DD3B90"/>
    <w:rsid w:val="00DD3FD4"/>
    <w:rsid w:val="00DD5597"/>
    <w:rsid w:val="00DD57D3"/>
    <w:rsid w:val="00DD65C8"/>
    <w:rsid w:val="00DD6A40"/>
    <w:rsid w:val="00DD6E8C"/>
    <w:rsid w:val="00DD7153"/>
    <w:rsid w:val="00DD7ACD"/>
    <w:rsid w:val="00DD7F28"/>
    <w:rsid w:val="00DE065A"/>
    <w:rsid w:val="00DE1230"/>
    <w:rsid w:val="00DE212B"/>
    <w:rsid w:val="00DE276E"/>
    <w:rsid w:val="00DE2DF4"/>
    <w:rsid w:val="00DE527C"/>
    <w:rsid w:val="00DE59D9"/>
    <w:rsid w:val="00DE61C9"/>
    <w:rsid w:val="00DE62F0"/>
    <w:rsid w:val="00DE6418"/>
    <w:rsid w:val="00DE64E1"/>
    <w:rsid w:val="00DE70C4"/>
    <w:rsid w:val="00DE7EA7"/>
    <w:rsid w:val="00DE7EB9"/>
    <w:rsid w:val="00DF0537"/>
    <w:rsid w:val="00DF15FF"/>
    <w:rsid w:val="00DF32BD"/>
    <w:rsid w:val="00DF381A"/>
    <w:rsid w:val="00DF3C52"/>
    <w:rsid w:val="00DF43B5"/>
    <w:rsid w:val="00DF5F55"/>
    <w:rsid w:val="00DF6220"/>
    <w:rsid w:val="00DF6A6E"/>
    <w:rsid w:val="00DF6F89"/>
    <w:rsid w:val="00DF71D6"/>
    <w:rsid w:val="00DF7212"/>
    <w:rsid w:val="00DF76A6"/>
    <w:rsid w:val="00E00A38"/>
    <w:rsid w:val="00E017CD"/>
    <w:rsid w:val="00E01916"/>
    <w:rsid w:val="00E0208D"/>
    <w:rsid w:val="00E030DA"/>
    <w:rsid w:val="00E0402D"/>
    <w:rsid w:val="00E04172"/>
    <w:rsid w:val="00E044B5"/>
    <w:rsid w:val="00E04522"/>
    <w:rsid w:val="00E052EC"/>
    <w:rsid w:val="00E05C7D"/>
    <w:rsid w:val="00E06978"/>
    <w:rsid w:val="00E070BD"/>
    <w:rsid w:val="00E07E05"/>
    <w:rsid w:val="00E12A8C"/>
    <w:rsid w:val="00E12CFA"/>
    <w:rsid w:val="00E137A7"/>
    <w:rsid w:val="00E14239"/>
    <w:rsid w:val="00E1444A"/>
    <w:rsid w:val="00E148E8"/>
    <w:rsid w:val="00E162BB"/>
    <w:rsid w:val="00E16661"/>
    <w:rsid w:val="00E16AD0"/>
    <w:rsid w:val="00E16C86"/>
    <w:rsid w:val="00E173AA"/>
    <w:rsid w:val="00E17786"/>
    <w:rsid w:val="00E20232"/>
    <w:rsid w:val="00E20401"/>
    <w:rsid w:val="00E20BD8"/>
    <w:rsid w:val="00E20EAD"/>
    <w:rsid w:val="00E22BB4"/>
    <w:rsid w:val="00E231AD"/>
    <w:rsid w:val="00E23799"/>
    <w:rsid w:val="00E23E76"/>
    <w:rsid w:val="00E24547"/>
    <w:rsid w:val="00E2572C"/>
    <w:rsid w:val="00E25750"/>
    <w:rsid w:val="00E25C2F"/>
    <w:rsid w:val="00E261C6"/>
    <w:rsid w:val="00E269E8"/>
    <w:rsid w:val="00E26CD1"/>
    <w:rsid w:val="00E26D5A"/>
    <w:rsid w:val="00E26E22"/>
    <w:rsid w:val="00E26E62"/>
    <w:rsid w:val="00E27355"/>
    <w:rsid w:val="00E279CC"/>
    <w:rsid w:val="00E31A74"/>
    <w:rsid w:val="00E31A7A"/>
    <w:rsid w:val="00E31C14"/>
    <w:rsid w:val="00E3208F"/>
    <w:rsid w:val="00E328D0"/>
    <w:rsid w:val="00E333D2"/>
    <w:rsid w:val="00E33808"/>
    <w:rsid w:val="00E338F9"/>
    <w:rsid w:val="00E33C28"/>
    <w:rsid w:val="00E342F0"/>
    <w:rsid w:val="00E34D0F"/>
    <w:rsid w:val="00E3734B"/>
    <w:rsid w:val="00E379C5"/>
    <w:rsid w:val="00E40845"/>
    <w:rsid w:val="00E40A54"/>
    <w:rsid w:val="00E40F0B"/>
    <w:rsid w:val="00E41E30"/>
    <w:rsid w:val="00E42D05"/>
    <w:rsid w:val="00E42DE7"/>
    <w:rsid w:val="00E42E57"/>
    <w:rsid w:val="00E42EE0"/>
    <w:rsid w:val="00E43F02"/>
    <w:rsid w:val="00E44ED8"/>
    <w:rsid w:val="00E455BE"/>
    <w:rsid w:val="00E457AD"/>
    <w:rsid w:val="00E45BA1"/>
    <w:rsid w:val="00E45FB3"/>
    <w:rsid w:val="00E46E73"/>
    <w:rsid w:val="00E46F54"/>
    <w:rsid w:val="00E47A9D"/>
    <w:rsid w:val="00E5051B"/>
    <w:rsid w:val="00E5061E"/>
    <w:rsid w:val="00E50CD5"/>
    <w:rsid w:val="00E512E1"/>
    <w:rsid w:val="00E526FD"/>
    <w:rsid w:val="00E52FD0"/>
    <w:rsid w:val="00E5388B"/>
    <w:rsid w:val="00E53E59"/>
    <w:rsid w:val="00E54298"/>
    <w:rsid w:val="00E542D6"/>
    <w:rsid w:val="00E54680"/>
    <w:rsid w:val="00E54D07"/>
    <w:rsid w:val="00E55601"/>
    <w:rsid w:val="00E5592B"/>
    <w:rsid w:val="00E55B78"/>
    <w:rsid w:val="00E56BF3"/>
    <w:rsid w:val="00E57450"/>
    <w:rsid w:val="00E57B0A"/>
    <w:rsid w:val="00E57E30"/>
    <w:rsid w:val="00E60471"/>
    <w:rsid w:val="00E60870"/>
    <w:rsid w:val="00E60B58"/>
    <w:rsid w:val="00E61888"/>
    <w:rsid w:val="00E623DF"/>
    <w:rsid w:val="00E6257A"/>
    <w:rsid w:val="00E62B37"/>
    <w:rsid w:val="00E62D7B"/>
    <w:rsid w:val="00E63994"/>
    <w:rsid w:val="00E64086"/>
    <w:rsid w:val="00E64249"/>
    <w:rsid w:val="00E64299"/>
    <w:rsid w:val="00E653DB"/>
    <w:rsid w:val="00E656CE"/>
    <w:rsid w:val="00E670C5"/>
    <w:rsid w:val="00E67815"/>
    <w:rsid w:val="00E7013F"/>
    <w:rsid w:val="00E712DA"/>
    <w:rsid w:val="00E71580"/>
    <w:rsid w:val="00E719A1"/>
    <w:rsid w:val="00E71AFE"/>
    <w:rsid w:val="00E71BFE"/>
    <w:rsid w:val="00E71F42"/>
    <w:rsid w:val="00E7221E"/>
    <w:rsid w:val="00E72CB6"/>
    <w:rsid w:val="00E72D36"/>
    <w:rsid w:val="00E734B6"/>
    <w:rsid w:val="00E73952"/>
    <w:rsid w:val="00E7417E"/>
    <w:rsid w:val="00E74AD3"/>
    <w:rsid w:val="00E74BC6"/>
    <w:rsid w:val="00E774E1"/>
    <w:rsid w:val="00E80459"/>
    <w:rsid w:val="00E811F2"/>
    <w:rsid w:val="00E812FA"/>
    <w:rsid w:val="00E82381"/>
    <w:rsid w:val="00E82811"/>
    <w:rsid w:val="00E83804"/>
    <w:rsid w:val="00E83885"/>
    <w:rsid w:val="00E83901"/>
    <w:rsid w:val="00E854DC"/>
    <w:rsid w:val="00E85605"/>
    <w:rsid w:val="00E85798"/>
    <w:rsid w:val="00E85F3F"/>
    <w:rsid w:val="00E8652E"/>
    <w:rsid w:val="00E86A07"/>
    <w:rsid w:val="00E86C83"/>
    <w:rsid w:val="00E86EF7"/>
    <w:rsid w:val="00E8754C"/>
    <w:rsid w:val="00E8766D"/>
    <w:rsid w:val="00E876AD"/>
    <w:rsid w:val="00E90816"/>
    <w:rsid w:val="00E9088F"/>
    <w:rsid w:val="00E90C6A"/>
    <w:rsid w:val="00E90D3A"/>
    <w:rsid w:val="00E9158C"/>
    <w:rsid w:val="00E91775"/>
    <w:rsid w:val="00E9182A"/>
    <w:rsid w:val="00E9182B"/>
    <w:rsid w:val="00E927D4"/>
    <w:rsid w:val="00E92940"/>
    <w:rsid w:val="00E93147"/>
    <w:rsid w:val="00E93FB4"/>
    <w:rsid w:val="00E94083"/>
    <w:rsid w:val="00E951A3"/>
    <w:rsid w:val="00E96B15"/>
    <w:rsid w:val="00E96F89"/>
    <w:rsid w:val="00E973E8"/>
    <w:rsid w:val="00EA091C"/>
    <w:rsid w:val="00EA136A"/>
    <w:rsid w:val="00EA17CC"/>
    <w:rsid w:val="00EA21B4"/>
    <w:rsid w:val="00EA26E2"/>
    <w:rsid w:val="00EA27C0"/>
    <w:rsid w:val="00EA31D6"/>
    <w:rsid w:val="00EA3485"/>
    <w:rsid w:val="00EA3B51"/>
    <w:rsid w:val="00EA3CB3"/>
    <w:rsid w:val="00EA40DD"/>
    <w:rsid w:val="00EA4C98"/>
    <w:rsid w:val="00EA5A8B"/>
    <w:rsid w:val="00EA6222"/>
    <w:rsid w:val="00EA71E2"/>
    <w:rsid w:val="00EB0C82"/>
    <w:rsid w:val="00EB0EF0"/>
    <w:rsid w:val="00EB1A66"/>
    <w:rsid w:val="00EB263C"/>
    <w:rsid w:val="00EB2A11"/>
    <w:rsid w:val="00EB2B54"/>
    <w:rsid w:val="00EB2B67"/>
    <w:rsid w:val="00EB3104"/>
    <w:rsid w:val="00EB54A8"/>
    <w:rsid w:val="00EB5B35"/>
    <w:rsid w:val="00EB5D8E"/>
    <w:rsid w:val="00EB6E6E"/>
    <w:rsid w:val="00EB7488"/>
    <w:rsid w:val="00EB76AE"/>
    <w:rsid w:val="00EB79FD"/>
    <w:rsid w:val="00EC1B24"/>
    <w:rsid w:val="00EC23C1"/>
    <w:rsid w:val="00EC3C47"/>
    <w:rsid w:val="00EC413B"/>
    <w:rsid w:val="00EC4C9B"/>
    <w:rsid w:val="00EC5D6B"/>
    <w:rsid w:val="00EC6719"/>
    <w:rsid w:val="00EC6B93"/>
    <w:rsid w:val="00EC7451"/>
    <w:rsid w:val="00EC76B3"/>
    <w:rsid w:val="00EC7AC8"/>
    <w:rsid w:val="00EC7FF4"/>
    <w:rsid w:val="00ED0E8E"/>
    <w:rsid w:val="00ED1B5A"/>
    <w:rsid w:val="00ED3E60"/>
    <w:rsid w:val="00ED4371"/>
    <w:rsid w:val="00ED455C"/>
    <w:rsid w:val="00ED491E"/>
    <w:rsid w:val="00ED5120"/>
    <w:rsid w:val="00ED55F6"/>
    <w:rsid w:val="00ED5A1E"/>
    <w:rsid w:val="00ED6396"/>
    <w:rsid w:val="00ED757B"/>
    <w:rsid w:val="00ED7A85"/>
    <w:rsid w:val="00ED7E01"/>
    <w:rsid w:val="00EE0ABD"/>
    <w:rsid w:val="00EE0FE8"/>
    <w:rsid w:val="00EE154E"/>
    <w:rsid w:val="00EE28AD"/>
    <w:rsid w:val="00EE620F"/>
    <w:rsid w:val="00EE67C9"/>
    <w:rsid w:val="00EE7E40"/>
    <w:rsid w:val="00EF072F"/>
    <w:rsid w:val="00EF1BAD"/>
    <w:rsid w:val="00EF2456"/>
    <w:rsid w:val="00EF2CE9"/>
    <w:rsid w:val="00EF3040"/>
    <w:rsid w:val="00EF3124"/>
    <w:rsid w:val="00EF344B"/>
    <w:rsid w:val="00EF3852"/>
    <w:rsid w:val="00EF4CC8"/>
    <w:rsid w:val="00EF4F3D"/>
    <w:rsid w:val="00EF512B"/>
    <w:rsid w:val="00EF52BA"/>
    <w:rsid w:val="00EF60C5"/>
    <w:rsid w:val="00EF6284"/>
    <w:rsid w:val="00EF6E71"/>
    <w:rsid w:val="00F003B8"/>
    <w:rsid w:val="00F00E69"/>
    <w:rsid w:val="00F01903"/>
    <w:rsid w:val="00F02042"/>
    <w:rsid w:val="00F02294"/>
    <w:rsid w:val="00F029D6"/>
    <w:rsid w:val="00F03511"/>
    <w:rsid w:val="00F03650"/>
    <w:rsid w:val="00F039FF"/>
    <w:rsid w:val="00F0456C"/>
    <w:rsid w:val="00F067B2"/>
    <w:rsid w:val="00F06C08"/>
    <w:rsid w:val="00F07060"/>
    <w:rsid w:val="00F0774F"/>
    <w:rsid w:val="00F07ECC"/>
    <w:rsid w:val="00F11266"/>
    <w:rsid w:val="00F11747"/>
    <w:rsid w:val="00F11D64"/>
    <w:rsid w:val="00F12049"/>
    <w:rsid w:val="00F131DF"/>
    <w:rsid w:val="00F1359F"/>
    <w:rsid w:val="00F13D40"/>
    <w:rsid w:val="00F14AE6"/>
    <w:rsid w:val="00F1575A"/>
    <w:rsid w:val="00F16930"/>
    <w:rsid w:val="00F16DB5"/>
    <w:rsid w:val="00F16EAB"/>
    <w:rsid w:val="00F171EC"/>
    <w:rsid w:val="00F17A76"/>
    <w:rsid w:val="00F204F7"/>
    <w:rsid w:val="00F205C0"/>
    <w:rsid w:val="00F20B77"/>
    <w:rsid w:val="00F20BB9"/>
    <w:rsid w:val="00F20E52"/>
    <w:rsid w:val="00F215A1"/>
    <w:rsid w:val="00F21D5C"/>
    <w:rsid w:val="00F235AE"/>
    <w:rsid w:val="00F236D7"/>
    <w:rsid w:val="00F239A9"/>
    <w:rsid w:val="00F23DA5"/>
    <w:rsid w:val="00F23EFD"/>
    <w:rsid w:val="00F241F5"/>
    <w:rsid w:val="00F241FE"/>
    <w:rsid w:val="00F24298"/>
    <w:rsid w:val="00F25041"/>
    <w:rsid w:val="00F260DF"/>
    <w:rsid w:val="00F262A0"/>
    <w:rsid w:val="00F27539"/>
    <w:rsid w:val="00F27995"/>
    <w:rsid w:val="00F30258"/>
    <w:rsid w:val="00F303E8"/>
    <w:rsid w:val="00F30C2B"/>
    <w:rsid w:val="00F30C73"/>
    <w:rsid w:val="00F31091"/>
    <w:rsid w:val="00F3196D"/>
    <w:rsid w:val="00F31E65"/>
    <w:rsid w:val="00F32B84"/>
    <w:rsid w:val="00F33696"/>
    <w:rsid w:val="00F33ED2"/>
    <w:rsid w:val="00F35CFF"/>
    <w:rsid w:val="00F36521"/>
    <w:rsid w:val="00F36A3A"/>
    <w:rsid w:val="00F4028A"/>
    <w:rsid w:val="00F407F6"/>
    <w:rsid w:val="00F40891"/>
    <w:rsid w:val="00F40909"/>
    <w:rsid w:val="00F40FC2"/>
    <w:rsid w:val="00F41378"/>
    <w:rsid w:val="00F415AA"/>
    <w:rsid w:val="00F41A44"/>
    <w:rsid w:val="00F41D40"/>
    <w:rsid w:val="00F41DE0"/>
    <w:rsid w:val="00F426B8"/>
    <w:rsid w:val="00F42DA0"/>
    <w:rsid w:val="00F4370B"/>
    <w:rsid w:val="00F4555F"/>
    <w:rsid w:val="00F45662"/>
    <w:rsid w:val="00F457CA"/>
    <w:rsid w:val="00F4594C"/>
    <w:rsid w:val="00F46175"/>
    <w:rsid w:val="00F46A72"/>
    <w:rsid w:val="00F46E8E"/>
    <w:rsid w:val="00F4788D"/>
    <w:rsid w:val="00F50C95"/>
    <w:rsid w:val="00F51033"/>
    <w:rsid w:val="00F512AE"/>
    <w:rsid w:val="00F51583"/>
    <w:rsid w:val="00F51CDE"/>
    <w:rsid w:val="00F51E76"/>
    <w:rsid w:val="00F51F3E"/>
    <w:rsid w:val="00F52639"/>
    <w:rsid w:val="00F53424"/>
    <w:rsid w:val="00F537AE"/>
    <w:rsid w:val="00F54924"/>
    <w:rsid w:val="00F54A49"/>
    <w:rsid w:val="00F55B99"/>
    <w:rsid w:val="00F57577"/>
    <w:rsid w:val="00F575B1"/>
    <w:rsid w:val="00F612AB"/>
    <w:rsid w:val="00F61746"/>
    <w:rsid w:val="00F61989"/>
    <w:rsid w:val="00F61C73"/>
    <w:rsid w:val="00F61E2A"/>
    <w:rsid w:val="00F62A36"/>
    <w:rsid w:val="00F635E4"/>
    <w:rsid w:val="00F63607"/>
    <w:rsid w:val="00F63761"/>
    <w:rsid w:val="00F653EA"/>
    <w:rsid w:val="00F654CA"/>
    <w:rsid w:val="00F6629A"/>
    <w:rsid w:val="00F66AAC"/>
    <w:rsid w:val="00F70D88"/>
    <w:rsid w:val="00F71206"/>
    <w:rsid w:val="00F720AB"/>
    <w:rsid w:val="00F72315"/>
    <w:rsid w:val="00F72362"/>
    <w:rsid w:val="00F7281E"/>
    <w:rsid w:val="00F7337D"/>
    <w:rsid w:val="00F73AA6"/>
    <w:rsid w:val="00F7565C"/>
    <w:rsid w:val="00F75B41"/>
    <w:rsid w:val="00F76608"/>
    <w:rsid w:val="00F76646"/>
    <w:rsid w:val="00F80015"/>
    <w:rsid w:val="00F80422"/>
    <w:rsid w:val="00F8049E"/>
    <w:rsid w:val="00F80F66"/>
    <w:rsid w:val="00F81C28"/>
    <w:rsid w:val="00F82B8A"/>
    <w:rsid w:val="00F82FCD"/>
    <w:rsid w:val="00F83509"/>
    <w:rsid w:val="00F83991"/>
    <w:rsid w:val="00F847DC"/>
    <w:rsid w:val="00F860A7"/>
    <w:rsid w:val="00F8631F"/>
    <w:rsid w:val="00F87079"/>
    <w:rsid w:val="00F87907"/>
    <w:rsid w:val="00F904B6"/>
    <w:rsid w:val="00F90BEF"/>
    <w:rsid w:val="00F93405"/>
    <w:rsid w:val="00F9393D"/>
    <w:rsid w:val="00F93C00"/>
    <w:rsid w:val="00F94A45"/>
    <w:rsid w:val="00F94F1E"/>
    <w:rsid w:val="00F95072"/>
    <w:rsid w:val="00F951EB"/>
    <w:rsid w:val="00F956A6"/>
    <w:rsid w:val="00F95A28"/>
    <w:rsid w:val="00F95A85"/>
    <w:rsid w:val="00F95DFD"/>
    <w:rsid w:val="00F9650F"/>
    <w:rsid w:val="00F97945"/>
    <w:rsid w:val="00F979DC"/>
    <w:rsid w:val="00F97F7E"/>
    <w:rsid w:val="00FA0500"/>
    <w:rsid w:val="00FA26E6"/>
    <w:rsid w:val="00FA2C2F"/>
    <w:rsid w:val="00FA3326"/>
    <w:rsid w:val="00FA33E3"/>
    <w:rsid w:val="00FA4006"/>
    <w:rsid w:val="00FA4D48"/>
    <w:rsid w:val="00FA5D2D"/>
    <w:rsid w:val="00FA5E21"/>
    <w:rsid w:val="00FA5EE3"/>
    <w:rsid w:val="00FA63E8"/>
    <w:rsid w:val="00FA71C3"/>
    <w:rsid w:val="00FB06A2"/>
    <w:rsid w:val="00FB087F"/>
    <w:rsid w:val="00FB13FF"/>
    <w:rsid w:val="00FB17CD"/>
    <w:rsid w:val="00FB1FBD"/>
    <w:rsid w:val="00FB2188"/>
    <w:rsid w:val="00FB21ED"/>
    <w:rsid w:val="00FB2F25"/>
    <w:rsid w:val="00FB3431"/>
    <w:rsid w:val="00FB39D8"/>
    <w:rsid w:val="00FB4902"/>
    <w:rsid w:val="00FB50F2"/>
    <w:rsid w:val="00FB5191"/>
    <w:rsid w:val="00FB5DB6"/>
    <w:rsid w:val="00FB67A0"/>
    <w:rsid w:val="00FB7B0C"/>
    <w:rsid w:val="00FC0A3D"/>
    <w:rsid w:val="00FC13F3"/>
    <w:rsid w:val="00FC2F4F"/>
    <w:rsid w:val="00FC33FD"/>
    <w:rsid w:val="00FC343E"/>
    <w:rsid w:val="00FC3819"/>
    <w:rsid w:val="00FC4B61"/>
    <w:rsid w:val="00FC5855"/>
    <w:rsid w:val="00FC5956"/>
    <w:rsid w:val="00FC5B47"/>
    <w:rsid w:val="00FC6483"/>
    <w:rsid w:val="00FC6FBD"/>
    <w:rsid w:val="00FC7487"/>
    <w:rsid w:val="00FD06EC"/>
    <w:rsid w:val="00FD1240"/>
    <w:rsid w:val="00FD151C"/>
    <w:rsid w:val="00FD234F"/>
    <w:rsid w:val="00FD25EC"/>
    <w:rsid w:val="00FD3639"/>
    <w:rsid w:val="00FD3D8C"/>
    <w:rsid w:val="00FD3F4F"/>
    <w:rsid w:val="00FD5337"/>
    <w:rsid w:val="00FD5720"/>
    <w:rsid w:val="00FD5955"/>
    <w:rsid w:val="00FD5990"/>
    <w:rsid w:val="00FD5BA7"/>
    <w:rsid w:val="00FD65FC"/>
    <w:rsid w:val="00FD6A24"/>
    <w:rsid w:val="00FD6B11"/>
    <w:rsid w:val="00FD6DE7"/>
    <w:rsid w:val="00FE13F4"/>
    <w:rsid w:val="00FE16C5"/>
    <w:rsid w:val="00FE2613"/>
    <w:rsid w:val="00FE2EF5"/>
    <w:rsid w:val="00FE3846"/>
    <w:rsid w:val="00FE3E36"/>
    <w:rsid w:val="00FE45E4"/>
    <w:rsid w:val="00FE4DC7"/>
    <w:rsid w:val="00FE4E6F"/>
    <w:rsid w:val="00FE546B"/>
    <w:rsid w:val="00FE58F6"/>
    <w:rsid w:val="00FE5C81"/>
    <w:rsid w:val="00FE5DE4"/>
    <w:rsid w:val="00FE707C"/>
    <w:rsid w:val="00FE77D2"/>
    <w:rsid w:val="00FE79C0"/>
    <w:rsid w:val="00FE7A77"/>
    <w:rsid w:val="00FF004A"/>
    <w:rsid w:val="00FF0101"/>
    <w:rsid w:val="00FF0E49"/>
    <w:rsid w:val="00FF2532"/>
    <w:rsid w:val="00FF3767"/>
    <w:rsid w:val="00FF5621"/>
    <w:rsid w:val="00FF5E6F"/>
    <w:rsid w:val="00FF6120"/>
    <w:rsid w:val="00FF6324"/>
    <w:rsid w:val="00FF6B50"/>
    <w:rsid w:val="00FF6D06"/>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oNotEmbedSmartTags/>
  <w:decimalSymbol w:val="."/>
  <w:listSeparator w:val=","/>
  <w15:docId w15:val="{CFEA165E-8197-433A-A30C-3EB113EE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907"/>
    <w:rPr>
      <w:rFonts w:ascii="Arial" w:hAnsi="Arial"/>
      <w:sz w:val="22"/>
    </w:rPr>
  </w:style>
  <w:style w:type="paragraph" w:styleId="Heading1">
    <w:name w:val="heading 1"/>
    <w:basedOn w:val="Heading"/>
    <w:next w:val="Heading2"/>
    <w:qFormat/>
    <w:rsid w:val="0075624C"/>
    <w:pPr>
      <w:keepNext/>
      <w:keepLines/>
      <w:widowControl w:val="0"/>
      <w:spacing w:line="480" w:lineRule="auto"/>
      <w:jc w:val="center"/>
      <w:outlineLvl w:val="0"/>
    </w:pPr>
    <w:rPr>
      <w:rFonts w:eastAsia="Calibri"/>
      <w:b/>
      <w:bCs/>
      <w:caps/>
      <w:sz w:val="24"/>
      <w:szCs w:val="28"/>
    </w:rPr>
  </w:style>
  <w:style w:type="paragraph" w:styleId="Heading2">
    <w:name w:val="heading 2"/>
    <w:basedOn w:val="Normal"/>
    <w:next w:val="Heading3"/>
    <w:qFormat/>
    <w:rsid w:val="00FE13F4"/>
    <w:pPr>
      <w:keepNext/>
      <w:keepLines/>
      <w:spacing w:before="120" w:after="120"/>
      <w:outlineLvl w:val="1"/>
    </w:pPr>
    <w:rPr>
      <w:rFonts w:eastAsia="Calibri"/>
      <w:b/>
      <w:bCs/>
      <w:sz w:val="24"/>
      <w:szCs w:val="26"/>
      <w:u w:val="single"/>
    </w:rPr>
  </w:style>
  <w:style w:type="paragraph" w:styleId="Heading3">
    <w:name w:val="heading 3"/>
    <w:basedOn w:val="Normal"/>
    <w:qFormat/>
    <w:rsid w:val="002E5E33"/>
    <w:pPr>
      <w:spacing w:before="120" w:after="120"/>
      <w:jc w:val="both"/>
      <w:outlineLvl w:val="2"/>
    </w:pPr>
    <w:rPr>
      <w:i/>
      <w:u w:val="single"/>
    </w:rPr>
  </w:style>
  <w:style w:type="paragraph" w:styleId="Heading4">
    <w:name w:val="heading 4"/>
    <w:basedOn w:val="Normal"/>
    <w:link w:val="Heading4Char"/>
    <w:qFormat/>
    <w:rsid w:val="00763BF4"/>
    <w:pPr>
      <w:keepNext/>
      <w:spacing w:before="120" w:after="120"/>
      <w:ind w:left="720"/>
      <w:jc w:val="both"/>
      <w:outlineLvl w:val="3"/>
    </w:pPr>
    <w:rPr>
      <w:i/>
      <w:u w:val="single"/>
    </w:rPr>
  </w:style>
  <w:style w:type="paragraph" w:styleId="Heading5">
    <w:name w:val="heading 5"/>
    <w:basedOn w:val="Normal"/>
    <w:qFormat/>
    <w:rsid w:val="0041103A"/>
    <w:pPr>
      <w:numPr>
        <w:ilvl w:val="4"/>
        <w:numId w:val="1"/>
      </w:numPr>
      <w:tabs>
        <w:tab w:val="clear" w:pos="0"/>
      </w:tabs>
      <w:spacing w:after="240"/>
      <w:jc w:val="both"/>
      <w:outlineLvl w:val="4"/>
    </w:pPr>
  </w:style>
  <w:style w:type="paragraph" w:styleId="Heading6">
    <w:name w:val="heading 6"/>
    <w:basedOn w:val="Normal"/>
    <w:qFormat/>
    <w:rsid w:val="0041103A"/>
    <w:pPr>
      <w:numPr>
        <w:ilvl w:val="5"/>
        <w:numId w:val="1"/>
      </w:numPr>
      <w:tabs>
        <w:tab w:val="clear" w:pos="0"/>
      </w:tabs>
      <w:spacing w:after="240"/>
      <w:jc w:val="both"/>
      <w:outlineLvl w:val="5"/>
    </w:pPr>
  </w:style>
  <w:style w:type="paragraph" w:styleId="Heading7">
    <w:name w:val="heading 7"/>
    <w:basedOn w:val="Normal"/>
    <w:qFormat/>
    <w:rsid w:val="0041103A"/>
    <w:pPr>
      <w:numPr>
        <w:ilvl w:val="6"/>
        <w:numId w:val="1"/>
      </w:numPr>
      <w:tabs>
        <w:tab w:val="clear" w:pos="0"/>
      </w:tabs>
      <w:spacing w:after="240"/>
      <w:jc w:val="both"/>
      <w:outlineLvl w:val="6"/>
    </w:pPr>
  </w:style>
  <w:style w:type="paragraph" w:styleId="Heading8">
    <w:name w:val="heading 8"/>
    <w:basedOn w:val="Heading"/>
    <w:qFormat/>
    <w:rsid w:val="0041103A"/>
    <w:pPr>
      <w:numPr>
        <w:ilvl w:val="7"/>
        <w:numId w:val="1"/>
      </w:numPr>
      <w:tabs>
        <w:tab w:val="clear" w:pos="0"/>
      </w:tabs>
      <w:jc w:val="both"/>
      <w:outlineLvl w:val="7"/>
    </w:pPr>
  </w:style>
  <w:style w:type="paragraph" w:styleId="Heading9">
    <w:name w:val="heading 9"/>
    <w:basedOn w:val="Normal"/>
    <w:qFormat/>
    <w:rsid w:val="0041103A"/>
    <w:pPr>
      <w:numPr>
        <w:ilvl w:val="8"/>
        <w:numId w:val="1"/>
      </w:numPr>
      <w:tabs>
        <w:tab w:val="clear" w:pos="0"/>
      </w:tabs>
      <w:spacing w:after="24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41103A"/>
    <w:pPr>
      <w:spacing w:after="240"/>
    </w:pPr>
  </w:style>
  <w:style w:type="character" w:customStyle="1" w:styleId="Heading4Char">
    <w:name w:val="Heading 4 Char"/>
    <w:basedOn w:val="DefaultParagraphFont"/>
    <w:link w:val="Heading4"/>
    <w:locked/>
    <w:rsid w:val="00763BF4"/>
    <w:rPr>
      <w:rFonts w:ascii="Arial" w:hAnsi="Arial"/>
      <w:i/>
      <w:sz w:val="22"/>
      <w:u w:val="single"/>
    </w:rPr>
  </w:style>
  <w:style w:type="paragraph" w:styleId="BlockText">
    <w:name w:val="Block Text"/>
    <w:basedOn w:val="Normal"/>
    <w:rsid w:val="003E5918"/>
    <w:pPr>
      <w:spacing w:after="240"/>
      <w:ind w:left="1440" w:right="1440"/>
    </w:pPr>
  </w:style>
  <w:style w:type="paragraph" w:styleId="BodyText">
    <w:name w:val="Body Text"/>
    <w:basedOn w:val="Normal"/>
    <w:link w:val="BodyTextChar"/>
    <w:rsid w:val="003E5918"/>
    <w:pPr>
      <w:spacing w:after="240"/>
      <w:jc w:val="both"/>
    </w:pPr>
  </w:style>
  <w:style w:type="character" w:customStyle="1" w:styleId="BodyTextChar">
    <w:name w:val="Body Text Char"/>
    <w:basedOn w:val="DefaultParagraphFont"/>
    <w:link w:val="BodyText"/>
    <w:locked/>
    <w:rsid w:val="00022907"/>
    <w:rPr>
      <w:sz w:val="24"/>
      <w:szCs w:val="24"/>
      <w:lang w:val="en-US" w:eastAsia="en-US" w:bidi="ar-SA"/>
    </w:rPr>
  </w:style>
  <w:style w:type="paragraph" w:customStyle="1" w:styleId="BodyText0DS">
    <w:name w:val="Body Text 0&quot; DS"/>
    <w:basedOn w:val="Normal"/>
    <w:rsid w:val="003E5918"/>
    <w:pPr>
      <w:spacing w:after="240" w:line="480" w:lineRule="auto"/>
      <w:jc w:val="both"/>
    </w:pPr>
  </w:style>
  <w:style w:type="paragraph" w:customStyle="1" w:styleId="BodyText05DS">
    <w:name w:val="Body Text 0.5&quot; DS"/>
    <w:basedOn w:val="Normal"/>
    <w:rsid w:val="003E5918"/>
    <w:pPr>
      <w:spacing w:line="480" w:lineRule="auto"/>
      <w:ind w:firstLine="720"/>
      <w:jc w:val="both"/>
    </w:pPr>
  </w:style>
  <w:style w:type="paragraph" w:customStyle="1" w:styleId="BodyText05SS">
    <w:name w:val="Body Text 0.5&quot; SS"/>
    <w:basedOn w:val="Normal"/>
    <w:rsid w:val="003E5918"/>
    <w:pPr>
      <w:spacing w:after="240"/>
      <w:ind w:firstLine="720"/>
      <w:jc w:val="both"/>
    </w:pPr>
  </w:style>
  <w:style w:type="paragraph" w:customStyle="1" w:styleId="BodyText1DS">
    <w:name w:val="Body Text 1&quot; DS"/>
    <w:basedOn w:val="Normal"/>
    <w:rsid w:val="003E5918"/>
    <w:pPr>
      <w:spacing w:line="480" w:lineRule="auto"/>
      <w:ind w:firstLine="1440"/>
      <w:jc w:val="both"/>
    </w:pPr>
  </w:style>
  <w:style w:type="paragraph" w:customStyle="1" w:styleId="BodyText1SS">
    <w:name w:val="Body Text 1&quot; SS"/>
    <w:basedOn w:val="Normal"/>
    <w:rsid w:val="003E5918"/>
    <w:pPr>
      <w:spacing w:after="240"/>
      <w:ind w:firstLine="1440"/>
      <w:jc w:val="both"/>
    </w:pPr>
  </w:style>
  <w:style w:type="paragraph" w:customStyle="1" w:styleId="StyleBodyText12pt2">
    <w:name w:val="Style Body Text + 12 pt2"/>
    <w:basedOn w:val="BodyText"/>
    <w:rsid w:val="00B53492"/>
    <w:pPr>
      <w:autoSpaceDE w:val="0"/>
      <w:autoSpaceDN w:val="0"/>
      <w:adjustRightInd w:val="0"/>
    </w:pPr>
  </w:style>
  <w:style w:type="paragraph" w:customStyle="1" w:styleId="BodyTextHanging5SS">
    <w:name w:val="Body Text Hanging .5&quot; SS"/>
    <w:basedOn w:val="Normal"/>
    <w:rsid w:val="003E5918"/>
    <w:pPr>
      <w:spacing w:after="240"/>
      <w:ind w:left="720" w:hanging="720"/>
      <w:jc w:val="both"/>
    </w:pPr>
  </w:style>
  <w:style w:type="paragraph" w:customStyle="1" w:styleId="BodyTextIndent0">
    <w:name w:val="Body Text Indent 0&quot;"/>
    <w:basedOn w:val="Normal"/>
    <w:rsid w:val="003E5918"/>
    <w:pPr>
      <w:spacing w:after="240"/>
      <w:ind w:left="720"/>
      <w:jc w:val="both"/>
    </w:pPr>
  </w:style>
  <w:style w:type="paragraph" w:customStyle="1" w:styleId="BodyTextIndent05">
    <w:name w:val="Body Text Indent 0.5&quot;"/>
    <w:basedOn w:val="Normal"/>
    <w:rsid w:val="003E5918"/>
    <w:pPr>
      <w:spacing w:after="240"/>
      <w:ind w:left="720" w:firstLine="720"/>
      <w:jc w:val="both"/>
    </w:pPr>
  </w:style>
  <w:style w:type="paragraph" w:customStyle="1" w:styleId="BodyTextIndent1">
    <w:name w:val="Body Text Indent 1&quot;"/>
    <w:basedOn w:val="Normal"/>
    <w:rsid w:val="003E5918"/>
    <w:pPr>
      <w:spacing w:after="240"/>
      <w:ind w:left="720" w:firstLine="1440"/>
      <w:jc w:val="both"/>
    </w:pPr>
  </w:style>
  <w:style w:type="paragraph" w:customStyle="1" w:styleId="Quote5">
    <w:name w:val="Quote .5&quot;"/>
    <w:basedOn w:val="Normal"/>
    <w:rsid w:val="003E5918"/>
    <w:pPr>
      <w:spacing w:after="240"/>
      <w:ind w:left="720" w:right="720"/>
      <w:jc w:val="both"/>
    </w:pPr>
  </w:style>
  <w:style w:type="paragraph" w:customStyle="1" w:styleId="Quote1">
    <w:name w:val="Quote 1&quot;"/>
    <w:basedOn w:val="Normal"/>
    <w:rsid w:val="003E5918"/>
    <w:pPr>
      <w:spacing w:after="240"/>
      <w:ind w:left="1440" w:right="1440"/>
      <w:jc w:val="both"/>
    </w:pPr>
  </w:style>
  <w:style w:type="character" w:customStyle="1" w:styleId="Bold">
    <w:name w:val="Bold"/>
    <w:basedOn w:val="DefaultParagraphFont"/>
    <w:rsid w:val="003E5918"/>
    <w:rPr>
      <w:b/>
    </w:rPr>
  </w:style>
  <w:style w:type="character" w:customStyle="1" w:styleId="BoldItalic">
    <w:name w:val="Bold Italic"/>
    <w:basedOn w:val="DefaultParagraphFont"/>
    <w:rsid w:val="003E5918"/>
    <w:rPr>
      <w:b/>
      <w:i/>
    </w:rPr>
  </w:style>
  <w:style w:type="character" w:customStyle="1" w:styleId="BoldItalicUnderline">
    <w:name w:val="Bold Italic Underline"/>
    <w:basedOn w:val="DefaultParagraphFont"/>
    <w:rsid w:val="003E5918"/>
    <w:rPr>
      <w:b/>
      <w:i/>
      <w:u w:val="single"/>
    </w:rPr>
  </w:style>
  <w:style w:type="character" w:customStyle="1" w:styleId="BoldUnderline">
    <w:name w:val="Bold Underline"/>
    <w:basedOn w:val="DefaultParagraphFont"/>
    <w:rsid w:val="003E5918"/>
    <w:rPr>
      <w:b/>
      <w:u w:val="single"/>
    </w:rPr>
  </w:style>
  <w:style w:type="paragraph" w:styleId="Date">
    <w:name w:val="Date"/>
    <w:basedOn w:val="Normal"/>
    <w:next w:val="Normal"/>
    <w:rsid w:val="003E5918"/>
    <w:pPr>
      <w:spacing w:before="640" w:after="680"/>
      <w:jc w:val="center"/>
    </w:pPr>
  </w:style>
  <w:style w:type="character" w:customStyle="1" w:styleId="DblUnderline">
    <w:name w:val="Dbl Underline"/>
    <w:basedOn w:val="DefaultParagraphFont"/>
    <w:rsid w:val="003E5918"/>
    <w:rPr>
      <w:u w:val="double"/>
    </w:rPr>
  </w:style>
  <w:style w:type="paragraph" w:styleId="Footer">
    <w:name w:val="footer"/>
    <w:basedOn w:val="Normal"/>
    <w:link w:val="FooterChar"/>
    <w:rsid w:val="00831CB3"/>
    <w:pPr>
      <w:pBdr>
        <w:top w:val="single" w:sz="18" w:space="1" w:color="auto"/>
      </w:pBdr>
      <w:tabs>
        <w:tab w:val="right" w:pos="9360"/>
      </w:tabs>
      <w:ind w:left="360"/>
      <w:jc w:val="right"/>
    </w:pPr>
    <w:rPr>
      <w:b/>
    </w:rPr>
  </w:style>
  <w:style w:type="character" w:customStyle="1" w:styleId="FooterChar">
    <w:name w:val="Footer Char"/>
    <w:basedOn w:val="DefaultParagraphFont"/>
    <w:link w:val="Footer"/>
    <w:locked/>
    <w:rsid w:val="00831CB3"/>
    <w:rPr>
      <w:rFonts w:ascii="Arial" w:hAnsi="Arial"/>
      <w:b/>
      <w:sz w:val="22"/>
    </w:rPr>
  </w:style>
  <w:style w:type="paragraph" w:styleId="FootnoteText">
    <w:name w:val="footnote text"/>
    <w:aliases w:val="Footnote Text Char2,Footnote Text Char1 Char,Footnote Text Char Char Char,Footnote Text Char1 Char Char Char,Footnote Text Char Char Char Char Char,Footnote Text Char Char Char Char Char Char Char Char"/>
    <w:basedOn w:val="Normal"/>
    <w:link w:val="FootnoteTextChar"/>
    <w:uiPriority w:val="99"/>
    <w:rsid w:val="003E5918"/>
    <w:pPr>
      <w:spacing w:after="200"/>
      <w:ind w:left="720" w:hanging="720"/>
      <w:jc w:val="both"/>
    </w:pPr>
    <w:rPr>
      <w:sz w:val="20"/>
    </w:rPr>
  </w:style>
  <w:style w:type="character" w:customStyle="1" w:styleId="FootnoteTextChar">
    <w:name w:val="Footnote Text Char"/>
    <w:aliases w:val="Footnote Text Char2 Char1,Footnote Text Char1 Char Char1,Footnote Text Char Char Char Char1,Footnote Text Char1 Char Char Char Char1,Footnote Text Char Char Char Char Char Char1"/>
    <w:basedOn w:val="DefaultParagraphFont"/>
    <w:link w:val="FootnoteText"/>
    <w:uiPriority w:val="99"/>
    <w:locked/>
    <w:rsid w:val="00022907"/>
    <w:rPr>
      <w:lang w:val="en-US" w:eastAsia="en-US" w:bidi="ar-SA"/>
    </w:rPr>
  </w:style>
  <w:style w:type="paragraph" w:styleId="Header">
    <w:name w:val="header"/>
    <w:basedOn w:val="Normal"/>
    <w:link w:val="HeaderChar"/>
    <w:rsid w:val="002751C2"/>
    <w:pPr>
      <w:tabs>
        <w:tab w:val="center" w:pos="4680"/>
        <w:tab w:val="right" w:pos="9360"/>
      </w:tabs>
      <w:spacing w:after="360"/>
      <w:jc w:val="center"/>
    </w:pPr>
    <w:rPr>
      <w:b/>
      <w:sz w:val="24"/>
    </w:rPr>
  </w:style>
  <w:style w:type="character" w:customStyle="1" w:styleId="HeaderChar">
    <w:name w:val="Header Char"/>
    <w:basedOn w:val="DefaultParagraphFont"/>
    <w:link w:val="Header"/>
    <w:locked/>
    <w:rsid w:val="002751C2"/>
    <w:rPr>
      <w:rFonts w:ascii="Arial" w:hAnsi="Arial"/>
      <w:b/>
      <w:sz w:val="24"/>
    </w:rPr>
  </w:style>
  <w:style w:type="character" w:customStyle="1" w:styleId="Italic">
    <w:name w:val="Italic"/>
    <w:basedOn w:val="DefaultParagraphFont"/>
    <w:rsid w:val="003E5918"/>
    <w:rPr>
      <w:i/>
    </w:rPr>
  </w:style>
  <w:style w:type="paragraph" w:customStyle="1" w:styleId="Notice">
    <w:name w:val="Notice"/>
    <w:basedOn w:val="Normal"/>
    <w:rsid w:val="003E5918"/>
    <w:pPr>
      <w:spacing w:after="240"/>
      <w:ind w:left="3600" w:hanging="2160"/>
    </w:pPr>
  </w:style>
  <w:style w:type="character" w:styleId="PageNumber">
    <w:name w:val="page number"/>
    <w:basedOn w:val="DefaultParagraphFont"/>
    <w:rsid w:val="00FA33E3"/>
  </w:style>
  <w:style w:type="paragraph" w:styleId="PlainText">
    <w:name w:val="Plain Text"/>
    <w:basedOn w:val="Normal"/>
    <w:link w:val="PlainTextChar"/>
    <w:rsid w:val="003E5918"/>
    <w:rPr>
      <w:rFonts w:cs="Courier New"/>
    </w:rPr>
  </w:style>
  <w:style w:type="character" w:customStyle="1" w:styleId="PlainTextChar">
    <w:name w:val="Plain Text Char"/>
    <w:basedOn w:val="DefaultParagraphFont"/>
    <w:link w:val="PlainText"/>
    <w:locked/>
    <w:rsid w:val="00022907"/>
    <w:rPr>
      <w:rFonts w:cs="Courier New"/>
      <w:sz w:val="24"/>
      <w:lang w:val="en-US" w:eastAsia="en-US" w:bidi="ar-SA"/>
    </w:rPr>
  </w:style>
  <w:style w:type="paragraph" w:styleId="Signature">
    <w:name w:val="Signature"/>
    <w:basedOn w:val="Normal"/>
    <w:rsid w:val="003E5918"/>
    <w:pPr>
      <w:keepNext/>
      <w:tabs>
        <w:tab w:val="left" w:pos="4680"/>
        <w:tab w:val="right" w:pos="9360"/>
      </w:tabs>
      <w:spacing w:after="600"/>
      <w:ind w:left="4320"/>
    </w:pPr>
  </w:style>
  <w:style w:type="paragraph" w:customStyle="1" w:styleId="TableHeading">
    <w:name w:val="Table Heading"/>
    <w:basedOn w:val="Normal"/>
    <w:rsid w:val="003E5918"/>
    <w:pPr>
      <w:jc w:val="center"/>
    </w:pPr>
    <w:rPr>
      <w:b/>
    </w:rPr>
  </w:style>
  <w:style w:type="paragraph" w:customStyle="1" w:styleId="TableText">
    <w:name w:val="Table Text"/>
    <w:basedOn w:val="Normal"/>
    <w:rsid w:val="003E5918"/>
  </w:style>
  <w:style w:type="paragraph" w:styleId="Title">
    <w:name w:val="Title"/>
    <w:basedOn w:val="Normal"/>
    <w:next w:val="BodyText1SS"/>
    <w:link w:val="TitleChar"/>
    <w:qFormat/>
    <w:rsid w:val="005764E2"/>
    <w:pPr>
      <w:keepNext/>
      <w:spacing w:after="240"/>
      <w:jc w:val="center"/>
    </w:pPr>
    <w:rPr>
      <w:rFonts w:cs="Arial"/>
      <w:b/>
      <w:bCs/>
      <w:caps/>
      <w:szCs w:val="32"/>
    </w:rPr>
  </w:style>
  <w:style w:type="character" w:customStyle="1" w:styleId="TitleChar">
    <w:name w:val="Title Char"/>
    <w:basedOn w:val="DefaultParagraphFont"/>
    <w:link w:val="Title"/>
    <w:locked/>
    <w:rsid w:val="005764E2"/>
    <w:rPr>
      <w:rFonts w:ascii="Arial" w:hAnsi="Arial" w:cs="Arial"/>
      <w:b/>
      <w:bCs/>
      <w:caps/>
      <w:sz w:val="22"/>
      <w:szCs w:val="32"/>
    </w:rPr>
  </w:style>
  <w:style w:type="paragraph" w:customStyle="1" w:styleId="TitleBoldLeft">
    <w:name w:val="Title Bold Left"/>
    <w:basedOn w:val="Normal"/>
    <w:next w:val="BodyText"/>
    <w:rsid w:val="00A66CD5"/>
    <w:pPr>
      <w:keepNext/>
      <w:spacing w:after="240"/>
    </w:pPr>
    <w:rPr>
      <w:b/>
      <w:u w:val="thick"/>
    </w:rPr>
  </w:style>
  <w:style w:type="paragraph" w:styleId="TOC1">
    <w:name w:val="toc 1"/>
    <w:aliases w:val="TOC 1a"/>
    <w:basedOn w:val="Normal"/>
    <w:next w:val="Normal"/>
    <w:autoRedefine/>
    <w:uiPriority w:val="39"/>
    <w:qFormat/>
    <w:rsid w:val="006527BA"/>
    <w:pPr>
      <w:tabs>
        <w:tab w:val="right" w:leader="dot" w:pos="9000"/>
      </w:tabs>
      <w:spacing w:line="360" w:lineRule="auto"/>
    </w:pPr>
    <w:rPr>
      <w:noProof/>
    </w:rPr>
  </w:style>
  <w:style w:type="paragraph" w:styleId="TOC2">
    <w:name w:val="toc 2"/>
    <w:basedOn w:val="Normal"/>
    <w:next w:val="Normal"/>
    <w:autoRedefine/>
    <w:uiPriority w:val="39"/>
    <w:qFormat/>
    <w:rsid w:val="006803FA"/>
    <w:pPr>
      <w:tabs>
        <w:tab w:val="right" w:leader="dot" w:pos="9000"/>
      </w:tabs>
      <w:spacing w:line="276" w:lineRule="auto"/>
      <w:ind w:left="240" w:firstLine="210"/>
    </w:pPr>
  </w:style>
  <w:style w:type="paragraph" w:styleId="TOC3">
    <w:name w:val="toc 3"/>
    <w:basedOn w:val="Normal"/>
    <w:next w:val="Normal"/>
    <w:autoRedefine/>
    <w:uiPriority w:val="39"/>
    <w:qFormat/>
    <w:rsid w:val="00FA33E3"/>
    <w:pPr>
      <w:ind w:left="480"/>
    </w:pPr>
  </w:style>
  <w:style w:type="character" w:customStyle="1" w:styleId="Underline">
    <w:name w:val="Underline"/>
    <w:basedOn w:val="DefaultParagraphFont"/>
    <w:rsid w:val="003E5918"/>
    <w:rPr>
      <w:u w:val="single"/>
    </w:rPr>
  </w:style>
  <w:style w:type="paragraph" w:styleId="ListNumber">
    <w:name w:val="List Number"/>
    <w:basedOn w:val="TestimonyA"/>
    <w:rsid w:val="00A25FA1"/>
    <w:pPr>
      <w:numPr>
        <w:numId w:val="10"/>
      </w:numPr>
      <w:spacing w:after="120" w:line="240" w:lineRule="auto"/>
      <w:ind w:left="1080" w:right="720"/>
    </w:pPr>
  </w:style>
  <w:style w:type="paragraph" w:styleId="Index6">
    <w:name w:val="index 6"/>
    <w:basedOn w:val="Normal"/>
    <w:next w:val="Normal"/>
    <w:autoRedefine/>
    <w:semiHidden/>
    <w:rsid w:val="00FE16C5"/>
    <w:pPr>
      <w:ind w:left="1440" w:hanging="240"/>
    </w:pPr>
  </w:style>
  <w:style w:type="paragraph" w:styleId="ListNumber2">
    <w:name w:val="List Number 2"/>
    <w:basedOn w:val="Normal"/>
    <w:rsid w:val="001C34A0"/>
    <w:pPr>
      <w:numPr>
        <w:numId w:val="2"/>
      </w:numPr>
      <w:tabs>
        <w:tab w:val="clear" w:pos="720"/>
        <w:tab w:val="num" w:pos="360"/>
      </w:tabs>
      <w:spacing w:before="120"/>
      <w:ind w:left="1080"/>
      <w:jc w:val="both"/>
    </w:pPr>
  </w:style>
  <w:style w:type="paragraph" w:styleId="ListNumber3">
    <w:name w:val="List Number 3"/>
    <w:basedOn w:val="Normal"/>
    <w:rsid w:val="003E5918"/>
    <w:pPr>
      <w:numPr>
        <w:numId w:val="3"/>
      </w:numPr>
    </w:pPr>
  </w:style>
  <w:style w:type="paragraph" w:styleId="Subtitle">
    <w:name w:val="Subtitle"/>
    <w:basedOn w:val="Normal"/>
    <w:qFormat/>
    <w:rsid w:val="003E5918"/>
    <w:pPr>
      <w:spacing w:after="240"/>
      <w:jc w:val="center"/>
    </w:pPr>
    <w:rPr>
      <w:rFonts w:cs="Arial"/>
    </w:rPr>
  </w:style>
  <w:style w:type="paragraph" w:styleId="TableofAuthorities">
    <w:name w:val="table of authorities"/>
    <w:basedOn w:val="Normal"/>
    <w:next w:val="Normal"/>
    <w:semiHidden/>
    <w:rsid w:val="003E5918"/>
    <w:pPr>
      <w:tabs>
        <w:tab w:val="right" w:leader="dot" w:pos="9360"/>
      </w:tabs>
      <w:spacing w:after="240"/>
      <w:ind w:left="720" w:right="1440" w:hanging="720"/>
    </w:pPr>
  </w:style>
  <w:style w:type="paragraph" w:styleId="TableofFigures">
    <w:name w:val="table of figures"/>
    <w:basedOn w:val="Normal"/>
    <w:next w:val="Normal"/>
    <w:semiHidden/>
    <w:rsid w:val="003E5918"/>
    <w:pPr>
      <w:ind w:left="720" w:hanging="720"/>
    </w:pPr>
  </w:style>
  <w:style w:type="paragraph" w:styleId="TOAHeading">
    <w:name w:val="toa heading"/>
    <w:basedOn w:val="Normal"/>
    <w:next w:val="Normal"/>
    <w:semiHidden/>
    <w:rsid w:val="003E5918"/>
    <w:pPr>
      <w:spacing w:after="240"/>
      <w:jc w:val="center"/>
    </w:pPr>
    <w:rPr>
      <w:rFonts w:cs="Arial"/>
      <w:b/>
      <w:bCs/>
    </w:rPr>
  </w:style>
  <w:style w:type="character" w:customStyle="1" w:styleId="DocID">
    <w:name w:val="DocID"/>
    <w:basedOn w:val="DefaultParagraphFont"/>
    <w:rsid w:val="00022907"/>
    <w:rPr>
      <w:sz w:val="16"/>
    </w:rPr>
  </w:style>
  <w:style w:type="paragraph" w:customStyle="1" w:styleId="DocIDPara">
    <w:name w:val="DocIDPara"/>
    <w:rsid w:val="00022907"/>
  </w:style>
  <w:style w:type="paragraph" w:customStyle="1" w:styleId="TestimonyQ">
    <w:name w:val="Testimony Q"/>
    <w:basedOn w:val="Normal"/>
    <w:link w:val="TestimonyQChar"/>
    <w:uiPriority w:val="99"/>
    <w:rsid w:val="00022907"/>
    <w:pPr>
      <w:keepLines/>
      <w:widowControl w:val="0"/>
      <w:tabs>
        <w:tab w:val="left" w:pos="-1440"/>
      </w:tabs>
      <w:spacing w:before="120" w:line="480" w:lineRule="auto"/>
      <w:ind w:left="720" w:hanging="720"/>
      <w:jc w:val="both"/>
    </w:pPr>
    <w:rPr>
      <w:b/>
      <w:bCs/>
      <w:caps/>
      <w:szCs w:val="28"/>
    </w:rPr>
  </w:style>
  <w:style w:type="character" w:customStyle="1" w:styleId="TestimonyQChar">
    <w:name w:val="Testimony Q Char"/>
    <w:basedOn w:val="DefaultParagraphFont"/>
    <w:link w:val="TestimonyQ"/>
    <w:uiPriority w:val="99"/>
    <w:locked/>
    <w:rsid w:val="00022907"/>
    <w:rPr>
      <w:rFonts w:ascii="Arial" w:hAnsi="Arial"/>
      <w:b/>
      <w:bCs/>
      <w:caps/>
      <w:sz w:val="22"/>
      <w:szCs w:val="28"/>
      <w:lang w:val="en-US" w:eastAsia="en-US" w:bidi="ar-SA"/>
    </w:rPr>
  </w:style>
  <w:style w:type="paragraph" w:customStyle="1" w:styleId="TestimonyA">
    <w:name w:val="Testimony A"/>
    <w:basedOn w:val="Normal"/>
    <w:link w:val="TestimonyAChar"/>
    <w:uiPriority w:val="99"/>
    <w:qFormat/>
    <w:rsid w:val="00022907"/>
    <w:pPr>
      <w:spacing w:line="480" w:lineRule="auto"/>
      <w:ind w:left="720" w:hanging="720"/>
      <w:jc w:val="both"/>
    </w:pPr>
    <w:rPr>
      <w:rFonts w:eastAsia="Calibri"/>
    </w:rPr>
  </w:style>
  <w:style w:type="character" w:customStyle="1" w:styleId="TestimonyAChar">
    <w:name w:val="Testimony A Char"/>
    <w:basedOn w:val="DefaultParagraphFont"/>
    <w:link w:val="TestimonyA"/>
    <w:uiPriority w:val="99"/>
    <w:locked/>
    <w:rsid w:val="00022907"/>
    <w:rPr>
      <w:rFonts w:ascii="Arial" w:eastAsia="Calibri" w:hAnsi="Arial"/>
      <w:sz w:val="22"/>
      <w:lang w:val="en-US" w:eastAsia="en-US" w:bidi="ar-SA"/>
    </w:rPr>
  </w:style>
  <w:style w:type="character" w:styleId="FootnoteReference">
    <w:name w:val="footnote reference"/>
    <w:basedOn w:val="DefaultParagraphFont"/>
    <w:uiPriority w:val="99"/>
    <w:semiHidden/>
    <w:rsid w:val="00022907"/>
    <w:rPr>
      <w:rFonts w:cs="Times New Roman"/>
      <w:vertAlign w:val="superscript"/>
    </w:rPr>
  </w:style>
  <w:style w:type="table" w:customStyle="1" w:styleId="LightList-Accent31">
    <w:name w:val="Light List - Accent 31"/>
    <w:rsid w:val="00022907"/>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styleId="TableGrid">
    <w:name w:val="Table Grid"/>
    <w:basedOn w:val="TableNormal"/>
    <w:rsid w:val="0002290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rsid w:val="00022907"/>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List1">
    <w:name w:val="Light List1"/>
    <w:rsid w:val="00022907"/>
    <w:rPr>
      <w:rFonts w:ascii="Calibri" w:eastAsia="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ColorfulList-Accent11">
    <w:name w:val="Colorful List - Accent 11"/>
    <w:basedOn w:val="Normal"/>
    <w:qFormat/>
    <w:rsid w:val="00022907"/>
    <w:pPr>
      <w:spacing w:after="120"/>
      <w:ind w:left="1440" w:right="720" w:hanging="360"/>
      <w:jc w:val="both"/>
    </w:pPr>
  </w:style>
  <w:style w:type="paragraph" w:styleId="ListBullet">
    <w:name w:val="List Bullet"/>
    <w:basedOn w:val="ListNumber"/>
    <w:link w:val="ListBulletChar"/>
    <w:rsid w:val="0078105C"/>
    <w:pPr>
      <w:numPr>
        <w:numId w:val="11"/>
      </w:numPr>
      <w:tabs>
        <w:tab w:val="left" w:pos="1800"/>
      </w:tabs>
      <w:ind w:left="1800"/>
    </w:pPr>
  </w:style>
  <w:style w:type="character" w:customStyle="1" w:styleId="ListBulletChar">
    <w:name w:val="List Bullet Char"/>
    <w:basedOn w:val="DefaultParagraphFont"/>
    <w:link w:val="ListBullet"/>
    <w:locked/>
    <w:rsid w:val="0078105C"/>
    <w:rPr>
      <w:rFonts w:ascii="Arial" w:eastAsia="Calibri" w:hAnsi="Arial"/>
      <w:sz w:val="22"/>
    </w:rPr>
  </w:style>
  <w:style w:type="paragraph" w:customStyle="1" w:styleId="Footnote">
    <w:name w:val="Footnote"/>
    <w:basedOn w:val="Normal"/>
    <w:qFormat/>
    <w:rsid w:val="00022907"/>
    <w:pPr>
      <w:spacing w:after="120"/>
    </w:pPr>
    <w:rPr>
      <w:sz w:val="20"/>
    </w:rPr>
  </w:style>
  <w:style w:type="paragraph" w:styleId="ListNumber4">
    <w:name w:val="List Number 4"/>
    <w:basedOn w:val="Normal"/>
    <w:rsid w:val="00022907"/>
    <w:pPr>
      <w:numPr>
        <w:numId w:val="4"/>
      </w:numPr>
      <w:spacing w:before="240" w:after="240"/>
      <w:ind w:right="720"/>
      <w:jc w:val="both"/>
    </w:pPr>
  </w:style>
  <w:style w:type="paragraph" w:styleId="ListNumber5">
    <w:name w:val="List Number 5"/>
    <w:basedOn w:val="Normal"/>
    <w:rsid w:val="00022907"/>
    <w:pPr>
      <w:numPr>
        <w:numId w:val="5"/>
      </w:numPr>
      <w:tabs>
        <w:tab w:val="clear" w:pos="1800"/>
      </w:tabs>
      <w:spacing w:before="120" w:after="120"/>
      <w:ind w:right="720"/>
      <w:jc w:val="both"/>
    </w:pPr>
  </w:style>
  <w:style w:type="table" w:customStyle="1" w:styleId="MediumShading21">
    <w:name w:val="Medium Shading 21"/>
    <w:rsid w:val="00022907"/>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styleId="TOC6">
    <w:name w:val="toc 6"/>
    <w:basedOn w:val="Normal"/>
    <w:next w:val="Normal"/>
    <w:autoRedefine/>
    <w:semiHidden/>
    <w:rsid w:val="00022907"/>
    <w:pPr>
      <w:ind w:left="1100"/>
    </w:pPr>
    <w:rPr>
      <w:rFonts w:eastAsia="Calibri" w:cs="Arial"/>
      <w:szCs w:val="22"/>
    </w:rPr>
  </w:style>
  <w:style w:type="paragraph" w:styleId="ListBullet2">
    <w:name w:val="List Bullet 2"/>
    <w:basedOn w:val="Normal"/>
    <w:rsid w:val="00022907"/>
    <w:pPr>
      <w:numPr>
        <w:numId w:val="6"/>
      </w:numPr>
    </w:pPr>
  </w:style>
  <w:style w:type="paragraph" w:styleId="List3">
    <w:name w:val="List 3"/>
    <w:basedOn w:val="Normal"/>
    <w:rsid w:val="00022907"/>
    <w:pPr>
      <w:ind w:left="1080" w:hanging="360"/>
    </w:pPr>
  </w:style>
  <w:style w:type="character" w:styleId="Hyperlink">
    <w:name w:val="Hyperlink"/>
    <w:basedOn w:val="DefaultParagraphFont"/>
    <w:uiPriority w:val="99"/>
    <w:rsid w:val="0008789B"/>
    <w:rPr>
      <w:noProof/>
      <w:color w:val="0000FF"/>
      <w:u w:val="single"/>
    </w:rPr>
  </w:style>
  <w:style w:type="paragraph" w:styleId="BalloonText">
    <w:name w:val="Balloon Text"/>
    <w:basedOn w:val="Normal"/>
    <w:semiHidden/>
    <w:rsid w:val="00022907"/>
    <w:rPr>
      <w:rFonts w:ascii="Tahoma" w:hAnsi="Tahoma" w:cs="Tahoma"/>
      <w:sz w:val="16"/>
      <w:szCs w:val="16"/>
    </w:rPr>
  </w:style>
  <w:style w:type="paragraph" w:styleId="NormalIndent">
    <w:name w:val="Normal Indent"/>
    <w:basedOn w:val="Normal"/>
    <w:rsid w:val="00022907"/>
    <w:pPr>
      <w:ind w:left="720"/>
    </w:pPr>
  </w:style>
  <w:style w:type="paragraph" w:styleId="EndnoteText">
    <w:name w:val="endnote text"/>
    <w:basedOn w:val="Normal"/>
    <w:link w:val="EndnoteTextChar"/>
    <w:uiPriority w:val="99"/>
    <w:rsid w:val="00022907"/>
    <w:rPr>
      <w:sz w:val="20"/>
    </w:rPr>
  </w:style>
  <w:style w:type="character" w:customStyle="1" w:styleId="EndnoteTextChar">
    <w:name w:val="Endnote Text Char"/>
    <w:basedOn w:val="DefaultParagraphFont"/>
    <w:link w:val="EndnoteText"/>
    <w:uiPriority w:val="99"/>
    <w:locked/>
    <w:rsid w:val="00022907"/>
    <w:rPr>
      <w:rFonts w:ascii="Arial" w:hAnsi="Arial"/>
      <w:lang w:val="en-US" w:eastAsia="en-US" w:bidi="ar-SA"/>
    </w:rPr>
  </w:style>
  <w:style w:type="paragraph" w:customStyle="1" w:styleId="Bullets">
    <w:name w:val="Bullets"/>
    <w:basedOn w:val="ListBullet"/>
    <w:link w:val="BulletsChar"/>
    <w:rsid w:val="00660016"/>
    <w:pPr>
      <w:numPr>
        <w:numId w:val="8"/>
      </w:numPr>
      <w:tabs>
        <w:tab w:val="num" w:pos="-31680"/>
      </w:tabs>
      <w:ind w:left="1440"/>
    </w:pPr>
  </w:style>
  <w:style w:type="character" w:customStyle="1" w:styleId="BulletsChar">
    <w:name w:val="Bullets Char"/>
    <w:basedOn w:val="ListBulletChar"/>
    <w:link w:val="Bullets"/>
    <w:locked/>
    <w:rsid w:val="00660016"/>
    <w:rPr>
      <w:rFonts w:ascii="Arial" w:eastAsia="Calibri" w:hAnsi="Arial"/>
      <w:sz w:val="22"/>
    </w:rPr>
  </w:style>
  <w:style w:type="paragraph" w:styleId="ListParagraph">
    <w:name w:val="List Paragraph"/>
    <w:basedOn w:val="Normal"/>
    <w:uiPriority w:val="99"/>
    <w:qFormat/>
    <w:rsid w:val="00022907"/>
    <w:pPr>
      <w:ind w:left="720"/>
      <w:contextualSpacing/>
    </w:pPr>
  </w:style>
  <w:style w:type="paragraph" w:customStyle="1" w:styleId="Answer">
    <w:name w:val="Answer"/>
    <w:basedOn w:val="TestimonyA"/>
    <w:link w:val="AnswerChar"/>
    <w:uiPriority w:val="99"/>
    <w:rsid w:val="00022907"/>
    <w:rPr>
      <w:rFonts w:eastAsia="Times New Roman"/>
      <w:color w:val="000000"/>
    </w:rPr>
  </w:style>
  <w:style w:type="character" w:customStyle="1" w:styleId="AnswerChar">
    <w:name w:val="Answer Char"/>
    <w:basedOn w:val="TestimonyAChar"/>
    <w:link w:val="Answer"/>
    <w:uiPriority w:val="99"/>
    <w:locked/>
    <w:rsid w:val="00022907"/>
    <w:rPr>
      <w:rFonts w:ascii="Arial" w:eastAsia="Calibri" w:hAnsi="Arial"/>
      <w:color w:val="000000"/>
      <w:sz w:val="22"/>
      <w:lang w:val="en-US" w:eastAsia="en-US" w:bidi="ar-SA"/>
    </w:rPr>
  </w:style>
  <w:style w:type="character" w:customStyle="1" w:styleId="IndentedParagraphChar">
    <w:name w:val="Indented Paragraph Char"/>
    <w:basedOn w:val="TestimonyAChar"/>
    <w:link w:val="IndentedParagraph"/>
    <w:locked/>
    <w:rsid w:val="00022907"/>
    <w:rPr>
      <w:rFonts w:ascii="Arial" w:eastAsia="Calibri" w:hAnsi="Arial" w:cs="Arial"/>
      <w:color w:val="000000"/>
      <w:sz w:val="22"/>
      <w:lang w:val="en-US" w:eastAsia="en-US" w:bidi="ar-SA"/>
    </w:rPr>
  </w:style>
  <w:style w:type="paragraph" w:customStyle="1" w:styleId="IndentedParagraph">
    <w:name w:val="Indented Paragraph"/>
    <w:basedOn w:val="Normal"/>
    <w:link w:val="IndentedParagraphChar"/>
    <w:qFormat/>
    <w:rsid w:val="00022907"/>
    <w:pPr>
      <w:spacing w:after="360"/>
      <w:ind w:left="1440" w:right="720"/>
      <w:jc w:val="both"/>
    </w:pPr>
    <w:rPr>
      <w:rFonts w:eastAsia="Calibri" w:cs="Arial"/>
      <w:color w:val="000000"/>
    </w:rPr>
  </w:style>
  <w:style w:type="paragraph" w:customStyle="1" w:styleId="ParagraphHeading">
    <w:name w:val="Paragraph Heading"/>
    <w:basedOn w:val="Heading2"/>
    <w:link w:val="ParagraphHeadingChar"/>
    <w:qFormat/>
    <w:rsid w:val="00022907"/>
    <w:pPr>
      <w:spacing w:before="200" w:line="276" w:lineRule="auto"/>
    </w:pPr>
    <w:rPr>
      <w:b w:val="0"/>
      <w:bCs w:val="0"/>
      <w:sz w:val="22"/>
    </w:rPr>
  </w:style>
  <w:style w:type="character" w:customStyle="1" w:styleId="ParagraphHeadingChar">
    <w:name w:val="Paragraph Heading Char"/>
    <w:basedOn w:val="DefaultParagraphFont"/>
    <w:link w:val="ParagraphHeading"/>
    <w:locked/>
    <w:rsid w:val="00022907"/>
    <w:rPr>
      <w:rFonts w:ascii="Arial" w:eastAsia="Calibri" w:hAnsi="Arial"/>
      <w:b/>
      <w:bCs/>
      <w:sz w:val="22"/>
      <w:szCs w:val="26"/>
      <w:u w:val="single"/>
      <w:lang w:val="en-US" w:eastAsia="en-US" w:bidi="ar-SA"/>
    </w:rPr>
  </w:style>
  <w:style w:type="character" w:customStyle="1" w:styleId="DeltaViewInsertion">
    <w:name w:val="DeltaView Insertion"/>
    <w:rsid w:val="00022907"/>
    <w:rPr>
      <w:color w:val="0000FF"/>
      <w:spacing w:val="0"/>
      <w:u w:val="double"/>
    </w:rPr>
  </w:style>
  <w:style w:type="character" w:styleId="Emphasis">
    <w:name w:val="Emphasis"/>
    <w:basedOn w:val="DefaultParagraphFont"/>
    <w:qFormat/>
    <w:rsid w:val="00022907"/>
    <w:rPr>
      <w:rFonts w:cs="Times New Roman"/>
      <w:b/>
      <w:bCs/>
    </w:rPr>
  </w:style>
  <w:style w:type="table" w:styleId="TableWeb2">
    <w:name w:val="Table Web 2"/>
    <w:basedOn w:val="TableNormal"/>
    <w:rsid w:val="00022907"/>
    <w:rPr>
      <w:rFonts w:ascii="Calibri" w:hAnsi="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022907"/>
    <w:rPr>
      <w:rFonts w:ascii="Calibri" w:hAnsi="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ListBullet3">
    <w:name w:val="List Bullet 3"/>
    <w:basedOn w:val="Normal"/>
    <w:uiPriority w:val="99"/>
    <w:rsid w:val="00022907"/>
    <w:pPr>
      <w:numPr>
        <w:numId w:val="7"/>
      </w:numPr>
      <w:spacing w:after="240"/>
      <w:ind w:right="720"/>
      <w:jc w:val="both"/>
    </w:pPr>
  </w:style>
  <w:style w:type="paragraph" w:styleId="BodyText2">
    <w:name w:val="Body Text 2"/>
    <w:basedOn w:val="Normal"/>
    <w:link w:val="BodyText2Char"/>
    <w:rsid w:val="00022907"/>
    <w:pPr>
      <w:spacing w:after="120" w:line="480" w:lineRule="auto"/>
    </w:pPr>
  </w:style>
  <w:style w:type="character" w:customStyle="1" w:styleId="BodyText2Char">
    <w:name w:val="Body Text 2 Char"/>
    <w:basedOn w:val="DefaultParagraphFont"/>
    <w:link w:val="BodyText2"/>
    <w:locked/>
    <w:rsid w:val="00022907"/>
    <w:rPr>
      <w:rFonts w:ascii="Arial" w:hAnsi="Arial"/>
      <w:sz w:val="22"/>
      <w:lang w:val="en-US" w:eastAsia="en-US" w:bidi="ar-SA"/>
    </w:rPr>
  </w:style>
  <w:style w:type="paragraph" w:styleId="BodyText3">
    <w:name w:val="Body Text 3"/>
    <w:basedOn w:val="Normal"/>
    <w:link w:val="BodyText3Char"/>
    <w:rsid w:val="00022907"/>
    <w:pPr>
      <w:spacing w:after="120"/>
    </w:pPr>
    <w:rPr>
      <w:sz w:val="16"/>
      <w:szCs w:val="16"/>
    </w:rPr>
  </w:style>
  <w:style w:type="character" w:customStyle="1" w:styleId="BodyText3Char">
    <w:name w:val="Body Text 3 Char"/>
    <w:basedOn w:val="DefaultParagraphFont"/>
    <w:link w:val="BodyText3"/>
    <w:locked/>
    <w:rsid w:val="00022907"/>
    <w:rPr>
      <w:rFonts w:ascii="Arial" w:hAnsi="Arial"/>
      <w:sz w:val="16"/>
      <w:szCs w:val="16"/>
      <w:lang w:val="en-US" w:eastAsia="en-US" w:bidi="ar-SA"/>
    </w:rPr>
  </w:style>
  <w:style w:type="paragraph" w:styleId="BodyTextFirstIndent">
    <w:name w:val="Body Text First Indent"/>
    <w:basedOn w:val="BodyText"/>
    <w:link w:val="BodyTextFirstIndentChar"/>
    <w:rsid w:val="00022907"/>
    <w:pPr>
      <w:spacing w:after="0"/>
      <w:ind w:firstLine="360"/>
      <w:jc w:val="left"/>
    </w:pPr>
  </w:style>
  <w:style w:type="character" w:customStyle="1" w:styleId="BodyTextFirstIndentChar">
    <w:name w:val="Body Text First Indent Char"/>
    <w:basedOn w:val="BodyTextChar"/>
    <w:link w:val="BodyTextFirstIndent"/>
    <w:locked/>
    <w:rsid w:val="00022907"/>
    <w:rPr>
      <w:rFonts w:ascii="Arial" w:hAnsi="Arial"/>
      <w:sz w:val="22"/>
      <w:szCs w:val="24"/>
      <w:lang w:val="en-US" w:eastAsia="en-US" w:bidi="ar-SA"/>
    </w:rPr>
  </w:style>
  <w:style w:type="paragraph" w:styleId="BodyTextIndent">
    <w:name w:val="Body Text Indent"/>
    <w:basedOn w:val="Normal"/>
    <w:link w:val="BodyTextIndentChar"/>
    <w:rsid w:val="00022907"/>
    <w:pPr>
      <w:spacing w:after="120"/>
      <w:ind w:left="1080" w:right="720"/>
      <w:jc w:val="both"/>
    </w:pPr>
  </w:style>
  <w:style w:type="character" w:customStyle="1" w:styleId="BodyTextIndentChar">
    <w:name w:val="Body Text Indent Char"/>
    <w:basedOn w:val="DefaultParagraphFont"/>
    <w:link w:val="BodyTextIndent"/>
    <w:locked/>
    <w:rsid w:val="00022907"/>
    <w:rPr>
      <w:rFonts w:ascii="Arial" w:hAnsi="Arial"/>
      <w:sz w:val="22"/>
      <w:lang w:val="en-US" w:eastAsia="en-US" w:bidi="ar-SA"/>
    </w:rPr>
  </w:style>
  <w:style w:type="character" w:styleId="LineNumber">
    <w:name w:val="line number"/>
    <w:basedOn w:val="DefaultParagraphFont"/>
    <w:rsid w:val="00D53948"/>
  </w:style>
  <w:style w:type="paragraph" w:styleId="DocumentMap">
    <w:name w:val="Document Map"/>
    <w:basedOn w:val="Normal"/>
    <w:link w:val="DocumentMapChar"/>
    <w:rsid w:val="0019250F"/>
    <w:rPr>
      <w:rFonts w:ascii="Tahoma" w:hAnsi="Tahoma" w:cs="Tahoma"/>
      <w:sz w:val="16"/>
      <w:szCs w:val="16"/>
    </w:rPr>
  </w:style>
  <w:style w:type="character" w:customStyle="1" w:styleId="DocumentMapChar">
    <w:name w:val="Document Map Char"/>
    <w:basedOn w:val="DefaultParagraphFont"/>
    <w:link w:val="DocumentMap"/>
    <w:rsid w:val="0019250F"/>
    <w:rPr>
      <w:rFonts w:ascii="Tahoma" w:hAnsi="Tahoma" w:cs="Tahoma"/>
      <w:sz w:val="16"/>
      <w:szCs w:val="16"/>
    </w:rPr>
  </w:style>
  <w:style w:type="character" w:styleId="EndnoteReference">
    <w:name w:val="endnote reference"/>
    <w:basedOn w:val="DefaultParagraphFont"/>
    <w:uiPriority w:val="99"/>
    <w:rsid w:val="00CF2B72"/>
    <w:rPr>
      <w:vertAlign w:val="superscript"/>
    </w:rPr>
  </w:style>
  <w:style w:type="table" w:styleId="TableGrid3">
    <w:name w:val="Table Grid 3"/>
    <w:basedOn w:val="TableNormal"/>
    <w:rsid w:val="004B54C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SRaChar">
    <w:name w:val="SR(a) Char"/>
    <w:basedOn w:val="Normal"/>
    <w:link w:val="SRaCharChar"/>
    <w:uiPriority w:val="99"/>
    <w:rsid w:val="00FF6B50"/>
    <w:pPr>
      <w:tabs>
        <w:tab w:val="left" w:pos="360"/>
        <w:tab w:val="left" w:pos="720"/>
        <w:tab w:val="left" w:pos="1872"/>
        <w:tab w:val="left" w:pos="2495"/>
        <w:tab w:val="left" w:pos="3071"/>
        <w:tab w:val="left" w:pos="3647"/>
        <w:tab w:val="left" w:pos="8910"/>
      </w:tabs>
      <w:spacing w:before="240"/>
      <w:ind w:left="720" w:hanging="446"/>
      <w:jc w:val="both"/>
    </w:pPr>
    <w:rPr>
      <w:rFonts w:ascii="Times New Roman" w:eastAsia="SimSun" w:hAnsi="Times New Roman"/>
      <w:sz w:val="20"/>
    </w:rPr>
  </w:style>
  <w:style w:type="character" w:customStyle="1" w:styleId="SRaCharChar">
    <w:name w:val="SR(a) Char Char"/>
    <w:basedOn w:val="DefaultParagraphFont"/>
    <w:link w:val="SRaChar"/>
    <w:uiPriority w:val="99"/>
    <w:locked/>
    <w:rsid w:val="00FF6B50"/>
    <w:rPr>
      <w:rFonts w:eastAsia="SimSun"/>
    </w:rPr>
  </w:style>
  <w:style w:type="paragraph" w:styleId="Quote">
    <w:name w:val="Quote"/>
    <w:basedOn w:val="Normal"/>
    <w:next w:val="Normal"/>
    <w:link w:val="QuoteChar"/>
    <w:uiPriority w:val="99"/>
    <w:qFormat/>
    <w:rsid w:val="00935114"/>
    <w:pPr>
      <w:spacing w:before="200" w:line="276" w:lineRule="auto"/>
      <w:ind w:left="360" w:right="360"/>
    </w:pPr>
    <w:rPr>
      <w:i/>
      <w:iCs/>
      <w:szCs w:val="22"/>
    </w:rPr>
  </w:style>
  <w:style w:type="character" w:customStyle="1" w:styleId="QuoteChar">
    <w:name w:val="Quote Char"/>
    <w:basedOn w:val="DefaultParagraphFont"/>
    <w:link w:val="Quote"/>
    <w:uiPriority w:val="99"/>
    <w:rsid w:val="00935114"/>
    <w:rPr>
      <w:rFonts w:ascii="Arial" w:hAnsi="Arial"/>
      <w:i/>
      <w:iCs/>
      <w:sz w:val="22"/>
      <w:szCs w:val="22"/>
    </w:rPr>
  </w:style>
  <w:style w:type="paragraph" w:customStyle="1" w:styleId="BulletList">
    <w:name w:val="Bullet List"/>
    <w:basedOn w:val="TestimonyA"/>
    <w:uiPriority w:val="99"/>
    <w:rsid w:val="00D744DD"/>
    <w:pPr>
      <w:spacing w:after="120" w:line="240" w:lineRule="auto"/>
      <w:ind w:left="0" w:right="720" w:firstLine="0"/>
    </w:pPr>
    <w:rPr>
      <w:rFonts w:eastAsia="Times New Roman" w:cs="Arial"/>
      <w:szCs w:val="22"/>
    </w:rPr>
  </w:style>
  <w:style w:type="paragraph" w:styleId="TOC4">
    <w:name w:val="toc 4"/>
    <w:basedOn w:val="Normal"/>
    <w:next w:val="Normal"/>
    <w:autoRedefine/>
    <w:uiPriority w:val="39"/>
    <w:rsid w:val="004E3933"/>
    <w:pPr>
      <w:spacing w:after="100"/>
      <w:ind w:left="660"/>
    </w:pPr>
  </w:style>
  <w:style w:type="paragraph" w:styleId="TOCHeading">
    <w:name w:val="TOC Heading"/>
    <w:basedOn w:val="Heading1"/>
    <w:next w:val="Normal"/>
    <w:uiPriority w:val="39"/>
    <w:semiHidden/>
    <w:unhideWhenUsed/>
    <w:qFormat/>
    <w:rsid w:val="003C572C"/>
    <w:pPr>
      <w:widowControl/>
      <w:spacing w:before="480" w:after="0" w:line="276" w:lineRule="auto"/>
      <w:jc w:val="left"/>
      <w:outlineLvl w:val="9"/>
    </w:pPr>
    <w:rPr>
      <w:rFonts w:asciiTheme="majorHAnsi" w:eastAsiaTheme="majorEastAsia" w:hAnsiTheme="majorHAnsi" w:cstheme="majorBidi"/>
      <w:caps w:val="0"/>
      <w:color w:val="365F91" w:themeColor="accent1" w:themeShade="BF"/>
      <w:sz w:val="28"/>
    </w:rPr>
  </w:style>
  <w:style w:type="paragraph" w:styleId="NoSpacing">
    <w:name w:val="No Spacing"/>
    <w:link w:val="NoSpacingChar"/>
    <w:uiPriority w:val="1"/>
    <w:qFormat/>
    <w:rsid w:val="006928F0"/>
    <w:rPr>
      <w:rFonts w:ascii="Arial" w:hAnsi="Arial"/>
      <w:sz w:val="22"/>
    </w:rPr>
  </w:style>
  <w:style w:type="paragraph" w:customStyle="1" w:styleId="Heading3Italic">
    <w:name w:val="Heading 3 Italic"/>
    <w:basedOn w:val="NoSpacing"/>
    <w:link w:val="Heading3ItalicChar"/>
    <w:autoRedefine/>
    <w:qFormat/>
    <w:rsid w:val="00DC43C0"/>
    <w:pPr>
      <w:keepNext/>
      <w:spacing w:after="120"/>
    </w:pPr>
    <w:rPr>
      <w:b/>
      <w:i/>
      <w:u w:val="single"/>
    </w:rPr>
  </w:style>
  <w:style w:type="character" w:customStyle="1" w:styleId="NoSpacingChar">
    <w:name w:val="No Spacing Char"/>
    <w:basedOn w:val="DefaultParagraphFont"/>
    <w:link w:val="NoSpacing"/>
    <w:uiPriority w:val="1"/>
    <w:rsid w:val="006928F0"/>
    <w:rPr>
      <w:rFonts w:ascii="Arial" w:hAnsi="Arial"/>
      <w:sz w:val="22"/>
    </w:rPr>
  </w:style>
  <w:style w:type="character" w:customStyle="1" w:styleId="Heading3ItalicChar">
    <w:name w:val="Heading 3 Italic Char"/>
    <w:basedOn w:val="NoSpacingChar"/>
    <w:link w:val="Heading3Italic"/>
    <w:rsid w:val="00DC43C0"/>
    <w:rPr>
      <w:rFonts w:ascii="Arial" w:hAnsi="Arial"/>
      <w:b/>
      <w:i/>
      <w:sz w:val="22"/>
      <w:u w:val="single"/>
    </w:rPr>
  </w:style>
  <w:style w:type="character" w:customStyle="1" w:styleId="FootnoteTextChar1">
    <w:name w:val="Footnote Text Char1"/>
    <w:aliases w:val="Footnote Text Char2 Char,Footnote Text Char1 Char Char,Footnote Text Char Char Char Char,Footnote Text Char1 Char Char Char Char,Footnote Text Char Char Char Char Char Char,Footnote Text Char Char Char Char Char Char Char Char Char"/>
    <w:basedOn w:val="DefaultParagraphFont"/>
    <w:semiHidden/>
    <w:locked/>
    <w:rsid w:val="00833C14"/>
    <w:rPr>
      <w:lang w:val="en-US" w:eastAsia="en-US" w:bidi="ar-SA"/>
    </w:rPr>
  </w:style>
  <w:style w:type="paragraph" w:customStyle="1" w:styleId="Timesnewroman">
    <w:name w:val="Times new roman"/>
    <w:basedOn w:val="Normal"/>
    <w:link w:val="TimesnewromanChar"/>
    <w:rsid w:val="00833C14"/>
    <w:pPr>
      <w:ind w:firstLine="720"/>
      <w:jc w:val="both"/>
    </w:pPr>
    <w:rPr>
      <w:rFonts w:ascii="Times New Roman" w:hAnsi="Times New Roman"/>
      <w:sz w:val="24"/>
    </w:rPr>
  </w:style>
  <w:style w:type="character" w:customStyle="1" w:styleId="TimesnewromanChar">
    <w:name w:val="Times new roman Char"/>
    <w:basedOn w:val="DefaultParagraphFont"/>
    <w:link w:val="Timesnewroman"/>
    <w:rsid w:val="00833C14"/>
    <w:rPr>
      <w:sz w:val="24"/>
    </w:rPr>
  </w:style>
  <w:style w:type="table" w:styleId="TableElegant">
    <w:name w:val="Table Elegant"/>
    <w:basedOn w:val="TableNormal"/>
    <w:rsid w:val="000430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e">
    <w:name w:val="Style"/>
    <w:rsid w:val="000430C2"/>
    <w:pPr>
      <w:widowControl w:val="0"/>
      <w:autoSpaceDE w:val="0"/>
      <w:autoSpaceDN w:val="0"/>
      <w:adjustRightInd w:val="0"/>
    </w:pPr>
    <w:rPr>
      <w:rFonts w:ascii="Arial" w:hAnsi="Arial" w:cs="Arial"/>
      <w:sz w:val="24"/>
      <w:szCs w:val="24"/>
    </w:rPr>
  </w:style>
  <w:style w:type="table" w:styleId="TableProfessional">
    <w:name w:val="Table Professional"/>
    <w:basedOn w:val="TableNormal"/>
    <w:rsid w:val="000430C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845EE5"/>
    <w:pPr>
      <w:autoSpaceDE w:val="0"/>
      <w:autoSpaceDN w:val="0"/>
      <w:adjustRightInd w:val="0"/>
    </w:pPr>
    <w:rPr>
      <w:rFonts w:ascii="Arial" w:hAnsi="Arial" w:cs="Arial"/>
      <w:color w:val="000000"/>
      <w:sz w:val="24"/>
      <w:szCs w:val="24"/>
    </w:rPr>
  </w:style>
  <w:style w:type="paragraph" w:customStyle="1" w:styleId="BodyText-CoverPage">
    <w:name w:val="Body Text - Cover Page"/>
    <w:basedOn w:val="Default"/>
    <w:next w:val="Default"/>
    <w:uiPriority w:val="99"/>
    <w:rsid w:val="00845EE5"/>
    <w:rPr>
      <w:color w:val="auto"/>
    </w:rPr>
  </w:style>
  <w:style w:type="paragraph" w:styleId="NormalWeb">
    <w:name w:val="Normal (Web)"/>
    <w:basedOn w:val="Normal"/>
    <w:uiPriority w:val="99"/>
    <w:unhideWhenUsed/>
    <w:rsid w:val="00300030"/>
    <w:pPr>
      <w:spacing w:before="100" w:beforeAutospacing="1" w:after="100" w:afterAutospacing="1"/>
    </w:pPr>
    <w:rPr>
      <w:rFonts w:ascii="Times New Roman" w:eastAsiaTheme="minorHAnsi" w:hAnsi="Times New Roman"/>
      <w:sz w:val="24"/>
      <w:szCs w:val="24"/>
    </w:rPr>
  </w:style>
  <w:style w:type="table" w:customStyle="1" w:styleId="LightGrid-Accent11">
    <w:name w:val="Light Grid - Accent 11"/>
    <w:basedOn w:val="TableNormal"/>
    <w:uiPriority w:val="62"/>
    <w:rsid w:val="00297BB2"/>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Article5L1">
    <w:name w:val="Article5_L1"/>
    <w:basedOn w:val="Normal"/>
    <w:rsid w:val="00D3298F"/>
    <w:pPr>
      <w:keepNext/>
      <w:numPr>
        <w:numId w:val="12"/>
      </w:numPr>
      <w:spacing w:after="240" w:line="360" w:lineRule="auto"/>
      <w:jc w:val="center"/>
    </w:pPr>
    <w:rPr>
      <w:rFonts w:ascii="Times New Roman" w:eastAsiaTheme="minorHAnsi" w:hAnsi="Times New Roman"/>
      <w:b/>
      <w:bCs/>
      <w:caps/>
      <w:sz w:val="24"/>
      <w:szCs w:val="24"/>
    </w:rPr>
  </w:style>
  <w:style w:type="character" w:customStyle="1" w:styleId="Article5L2Char">
    <w:name w:val="Article5_L2 Char"/>
    <w:basedOn w:val="DefaultParagraphFont"/>
    <w:link w:val="Article5L2"/>
    <w:locked/>
    <w:rsid w:val="00D3298F"/>
    <w:rPr>
      <w:rFonts w:ascii="Calibri" w:eastAsiaTheme="minorHAnsi" w:hAnsi="Calibri"/>
      <w:sz w:val="24"/>
      <w:szCs w:val="24"/>
    </w:rPr>
  </w:style>
  <w:style w:type="paragraph" w:customStyle="1" w:styleId="Article5L2">
    <w:name w:val="Article5_L2"/>
    <w:basedOn w:val="Normal"/>
    <w:link w:val="Article5L2Char"/>
    <w:rsid w:val="00D3298F"/>
    <w:pPr>
      <w:keepNext/>
      <w:numPr>
        <w:ilvl w:val="1"/>
        <w:numId w:val="12"/>
      </w:numPr>
      <w:spacing w:after="240" w:line="360" w:lineRule="auto"/>
      <w:ind w:right="720"/>
      <w:jc w:val="both"/>
    </w:pPr>
    <w:rPr>
      <w:rFonts w:ascii="Calibri" w:eastAsiaTheme="minorHAnsi" w:hAnsi="Calibri"/>
      <w:sz w:val="24"/>
      <w:szCs w:val="24"/>
    </w:rPr>
  </w:style>
  <w:style w:type="paragraph" w:customStyle="1" w:styleId="Article5L3">
    <w:name w:val="Article5_L3"/>
    <w:basedOn w:val="Normal"/>
    <w:rsid w:val="00D3298F"/>
    <w:pPr>
      <w:keepNext/>
      <w:numPr>
        <w:ilvl w:val="2"/>
        <w:numId w:val="12"/>
      </w:numPr>
      <w:spacing w:after="240" w:line="360" w:lineRule="auto"/>
      <w:jc w:val="both"/>
    </w:pPr>
    <w:rPr>
      <w:rFonts w:ascii="Times New Roman" w:eastAsiaTheme="minorHAnsi" w:hAnsi="Times New Roman"/>
      <w:sz w:val="24"/>
      <w:szCs w:val="24"/>
    </w:rPr>
  </w:style>
  <w:style w:type="paragraph" w:customStyle="1" w:styleId="Article5L4">
    <w:name w:val="Article5_L4"/>
    <w:basedOn w:val="Normal"/>
    <w:rsid w:val="00D3298F"/>
    <w:pPr>
      <w:keepNext/>
      <w:numPr>
        <w:ilvl w:val="3"/>
        <w:numId w:val="12"/>
      </w:numPr>
      <w:spacing w:after="240" w:line="360" w:lineRule="auto"/>
      <w:jc w:val="both"/>
    </w:pPr>
    <w:rPr>
      <w:rFonts w:ascii="Times New Roman" w:eastAsiaTheme="minorHAnsi" w:hAnsi="Times New Roman"/>
      <w:sz w:val="24"/>
      <w:szCs w:val="24"/>
    </w:rPr>
  </w:style>
  <w:style w:type="paragraph" w:customStyle="1" w:styleId="Article5L5">
    <w:name w:val="Article5_L5"/>
    <w:basedOn w:val="Normal"/>
    <w:rsid w:val="00D3298F"/>
    <w:pPr>
      <w:keepNext/>
      <w:numPr>
        <w:ilvl w:val="4"/>
        <w:numId w:val="12"/>
      </w:numPr>
      <w:spacing w:after="240" w:line="360" w:lineRule="auto"/>
      <w:jc w:val="both"/>
    </w:pPr>
    <w:rPr>
      <w:rFonts w:ascii="Times New Roman" w:eastAsiaTheme="minorHAnsi" w:hAnsi="Times New Roman"/>
      <w:sz w:val="24"/>
      <w:szCs w:val="24"/>
    </w:rPr>
  </w:style>
  <w:style w:type="paragraph" w:customStyle="1" w:styleId="Article5L6">
    <w:name w:val="Article5_L6"/>
    <w:basedOn w:val="Normal"/>
    <w:rsid w:val="00D3298F"/>
    <w:pPr>
      <w:keepNext/>
      <w:numPr>
        <w:ilvl w:val="5"/>
        <w:numId w:val="12"/>
      </w:numPr>
      <w:spacing w:after="240" w:line="360" w:lineRule="auto"/>
      <w:jc w:val="both"/>
    </w:pPr>
    <w:rPr>
      <w:rFonts w:ascii="Times New Roman" w:eastAsiaTheme="minorHAnsi" w:hAnsi="Times New Roman"/>
      <w:sz w:val="24"/>
      <w:szCs w:val="24"/>
    </w:rPr>
  </w:style>
  <w:style w:type="paragraph" w:customStyle="1" w:styleId="Article5L7">
    <w:name w:val="Article5_L7"/>
    <w:basedOn w:val="Normal"/>
    <w:rsid w:val="00D3298F"/>
    <w:pPr>
      <w:keepNext/>
      <w:numPr>
        <w:ilvl w:val="6"/>
        <w:numId w:val="12"/>
      </w:numPr>
      <w:spacing w:after="240" w:line="360" w:lineRule="auto"/>
      <w:jc w:val="both"/>
    </w:pPr>
    <w:rPr>
      <w:rFonts w:ascii="Times New Roman" w:eastAsiaTheme="minorHAnsi" w:hAnsi="Times New Roman"/>
      <w:sz w:val="24"/>
      <w:szCs w:val="24"/>
    </w:rPr>
  </w:style>
  <w:style w:type="paragraph" w:customStyle="1" w:styleId="Article5L8">
    <w:name w:val="Article5_L8"/>
    <w:basedOn w:val="Normal"/>
    <w:rsid w:val="00D3298F"/>
    <w:pPr>
      <w:keepNext/>
      <w:numPr>
        <w:ilvl w:val="7"/>
        <w:numId w:val="12"/>
      </w:numPr>
      <w:spacing w:after="240" w:line="360" w:lineRule="auto"/>
      <w:jc w:val="both"/>
    </w:pPr>
    <w:rPr>
      <w:rFonts w:ascii="Times New Roman" w:eastAsiaTheme="minorHAnsi" w:hAnsi="Times New Roman"/>
      <w:sz w:val="24"/>
      <w:szCs w:val="24"/>
    </w:rPr>
  </w:style>
  <w:style w:type="paragraph" w:customStyle="1" w:styleId="NumberList">
    <w:name w:val="Number List"/>
    <w:basedOn w:val="TestimonyA"/>
    <w:uiPriority w:val="99"/>
    <w:rsid w:val="00A14FB0"/>
    <w:pPr>
      <w:tabs>
        <w:tab w:val="num" w:pos="360"/>
      </w:tabs>
      <w:spacing w:after="240" w:line="240" w:lineRule="auto"/>
      <w:ind w:right="720"/>
    </w:pPr>
    <w:rPr>
      <w:rFonts w:cs="Arial"/>
    </w:rPr>
  </w:style>
  <w:style w:type="table" w:styleId="GridTable6Colorful-Accent1">
    <w:name w:val="Grid Table 6 Colorful Accent 1"/>
    <w:basedOn w:val="TableNormal"/>
    <w:uiPriority w:val="51"/>
    <w:rsid w:val="00CA1C7A"/>
    <w:rPr>
      <w:rFonts w:asciiTheme="minorHAnsi" w:eastAsiaTheme="minorHAnsi" w:hAnsiTheme="minorHAnsi" w:cstheme="minorBidi"/>
      <w:color w:val="365F91" w:themeColor="accent1" w:themeShade="BF"/>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ede-headlinehighlighted">
    <w:name w:val="lede-headline__highlighted"/>
    <w:basedOn w:val="DefaultParagraphFont"/>
    <w:rsid w:val="00A44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42080">
      <w:bodyDiv w:val="1"/>
      <w:marLeft w:val="0"/>
      <w:marRight w:val="0"/>
      <w:marTop w:val="0"/>
      <w:marBottom w:val="0"/>
      <w:divBdr>
        <w:top w:val="none" w:sz="0" w:space="0" w:color="auto"/>
        <w:left w:val="none" w:sz="0" w:space="0" w:color="auto"/>
        <w:bottom w:val="none" w:sz="0" w:space="0" w:color="auto"/>
        <w:right w:val="none" w:sz="0" w:space="0" w:color="auto"/>
      </w:divBdr>
    </w:div>
    <w:div w:id="75370311">
      <w:bodyDiv w:val="1"/>
      <w:marLeft w:val="0"/>
      <w:marRight w:val="0"/>
      <w:marTop w:val="0"/>
      <w:marBottom w:val="0"/>
      <w:divBdr>
        <w:top w:val="none" w:sz="0" w:space="0" w:color="auto"/>
        <w:left w:val="none" w:sz="0" w:space="0" w:color="auto"/>
        <w:bottom w:val="none" w:sz="0" w:space="0" w:color="auto"/>
        <w:right w:val="none" w:sz="0" w:space="0" w:color="auto"/>
      </w:divBdr>
      <w:divsChild>
        <w:div w:id="463082064">
          <w:marLeft w:val="0"/>
          <w:marRight w:val="0"/>
          <w:marTop w:val="0"/>
          <w:marBottom w:val="0"/>
          <w:divBdr>
            <w:top w:val="none" w:sz="0" w:space="0" w:color="auto"/>
            <w:left w:val="none" w:sz="0" w:space="0" w:color="auto"/>
            <w:bottom w:val="none" w:sz="0" w:space="0" w:color="auto"/>
            <w:right w:val="none" w:sz="0" w:space="0" w:color="auto"/>
          </w:divBdr>
          <w:divsChild>
            <w:div w:id="83796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09359">
      <w:bodyDiv w:val="1"/>
      <w:marLeft w:val="0"/>
      <w:marRight w:val="0"/>
      <w:marTop w:val="0"/>
      <w:marBottom w:val="0"/>
      <w:divBdr>
        <w:top w:val="none" w:sz="0" w:space="0" w:color="auto"/>
        <w:left w:val="none" w:sz="0" w:space="0" w:color="auto"/>
        <w:bottom w:val="none" w:sz="0" w:space="0" w:color="auto"/>
        <w:right w:val="none" w:sz="0" w:space="0" w:color="auto"/>
      </w:divBdr>
    </w:div>
    <w:div w:id="1135298588">
      <w:bodyDiv w:val="1"/>
      <w:marLeft w:val="0"/>
      <w:marRight w:val="0"/>
      <w:marTop w:val="0"/>
      <w:marBottom w:val="0"/>
      <w:divBdr>
        <w:top w:val="none" w:sz="0" w:space="0" w:color="auto"/>
        <w:left w:val="none" w:sz="0" w:space="0" w:color="auto"/>
        <w:bottom w:val="none" w:sz="0" w:space="0" w:color="auto"/>
        <w:right w:val="none" w:sz="0" w:space="0" w:color="auto"/>
      </w:divBdr>
    </w:div>
    <w:div w:id="1187597844">
      <w:bodyDiv w:val="1"/>
      <w:marLeft w:val="0"/>
      <w:marRight w:val="0"/>
      <w:marTop w:val="0"/>
      <w:marBottom w:val="0"/>
      <w:divBdr>
        <w:top w:val="none" w:sz="0" w:space="0" w:color="auto"/>
        <w:left w:val="none" w:sz="0" w:space="0" w:color="auto"/>
        <w:bottom w:val="none" w:sz="0" w:space="0" w:color="auto"/>
        <w:right w:val="none" w:sz="0" w:space="0" w:color="auto"/>
      </w:divBdr>
    </w:div>
    <w:div w:id="1270889134">
      <w:bodyDiv w:val="1"/>
      <w:marLeft w:val="0"/>
      <w:marRight w:val="0"/>
      <w:marTop w:val="0"/>
      <w:marBottom w:val="0"/>
      <w:divBdr>
        <w:top w:val="none" w:sz="0" w:space="0" w:color="auto"/>
        <w:left w:val="none" w:sz="0" w:space="0" w:color="auto"/>
        <w:bottom w:val="none" w:sz="0" w:space="0" w:color="auto"/>
        <w:right w:val="none" w:sz="0" w:space="0" w:color="auto"/>
      </w:divBdr>
    </w:div>
    <w:div w:id="1424837784">
      <w:bodyDiv w:val="1"/>
      <w:marLeft w:val="0"/>
      <w:marRight w:val="0"/>
      <w:marTop w:val="0"/>
      <w:marBottom w:val="0"/>
      <w:divBdr>
        <w:top w:val="none" w:sz="0" w:space="0" w:color="auto"/>
        <w:left w:val="none" w:sz="0" w:space="0" w:color="auto"/>
        <w:bottom w:val="none" w:sz="0" w:space="0" w:color="auto"/>
        <w:right w:val="none" w:sz="0" w:space="0" w:color="auto"/>
      </w:divBdr>
    </w:div>
    <w:div w:id="1733382510">
      <w:bodyDiv w:val="1"/>
      <w:marLeft w:val="0"/>
      <w:marRight w:val="0"/>
      <w:marTop w:val="0"/>
      <w:marBottom w:val="0"/>
      <w:divBdr>
        <w:top w:val="none" w:sz="0" w:space="0" w:color="auto"/>
        <w:left w:val="none" w:sz="0" w:space="0" w:color="auto"/>
        <w:bottom w:val="none" w:sz="0" w:space="0" w:color="auto"/>
        <w:right w:val="none" w:sz="0" w:space="0" w:color="auto"/>
      </w:divBdr>
    </w:div>
    <w:div w:id="1786195236">
      <w:bodyDiv w:val="1"/>
      <w:marLeft w:val="0"/>
      <w:marRight w:val="0"/>
      <w:marTop w:val="0"/>
      <w:marBottom w:val="0"/>
      <w:divBdr>
        <w:top w:val="none" w:sz="0" w:space="0" w:color="auto"/>
        <w:left w:val="none" w:sz="0" w:space="0" w:color="auto"/>
        <w:bottom w:val="none" w:sz="0" w:space="0" w:color="auto"/>
        <w:right w:val="none" w:sz="0" w:space="0" w:color="auto"/>
      </w:divBdr>
    </w:div>
    <w:div w:id="1881626344">
      <w:bodyDiv w:val="1"/>
      <w:marLeft w:val="0"/>
      <w:marRight w:val="0"/>
      <w:marTop w:val="0"/>
      <w:marBottom w:val="0"/>
      <w:divBdr>
        <w:top w:val="none" w:sz="0" w:space="0" w:color="auto"/>
        <w:left w:val="none" w:sz="0" w:space="0" w:color="auto"/>
        <w:bottom w:val="none" w:sz="0" w:space="0" w:color="auto"/>
        <w:right w:val="none" w:sz="0" w:space="0" w:color="auto"/>
      </w:divBdr>
    </w:div>
    <w:div w:id="1929270211">
      <w:bodyDiv w:val="1"/>
      <w:marLeft w:val="0"/>
      <w:marRight w:val="0"/>
      <w:marTop w:val="0"/>
      <w:marBottom w:val="0"/>
      <w:divBdr>
        <w:top w:val="none" w:sz="0" w:space="0" w:color="auto"/>
        <w:left w:val="none" w:sz="0" w:space="0" w:color="auto"/>
        <w:bottom w:val="none" w:sz="0" w:space="0" w:color="auto"/>
        <w:right w:val="none" w:sz="0" w:space="0" w:color="auto"/>
      </w:divBdr>
    </w:div>
    <w:div w:id="1938319382">
      <w:bodyDiv w:val="1"/>
      <w:marLeft w:val="0"/>
      <w:marRight w:val="0"/>
      <w:marTop w:val="0"/>
      <w:marBottom w:val="0"/>
      <w:divBdr>
        <w:top w:val="none" w:sz="0" w:space="0" w:color="auto"/>
        <w:left w:val="none" w:sz="0" w:space="0" w:color="auto"/>
        <w:bottom w:val="none" w:sz="0" w:space="0" w:color="auto"/>
        <w:right w:val="none" w:sz="0" w:space="0" w:color="auto"/>
      </w:divBdr>
    </w:div>
    <w:div w:id="1950505219">
      <w:bodyDiv w:val="1"/>
      <w:marLeft w:val="0"/>
      <w:marRight w:val="0"/>
      <w:marTop w:val="0"/>
      <w:marBottom w:val="0"/>
      <w:divBdr>
        <w:top w:val="none" w:sz="0" w:space="0" w:color="auto"/>
        <w:left w:val="none" w:sz="0" w:space="0" w:color="auto"/>
        <w:bottom w:val="none" w:sz="0" w:space="0" w:color="auto"/>
        <w:right w:val="none" w:sz="0" w:space="0" w:color="auto"/>
      </w:divBdr>
    </w:div>
    <w:div w:id="1979456717">
      <w:bodyDiv w:val="1"/>
      <w:marLeft w:val="0"/>
      <w:marRight w:val="0"/>
      <w:marTop w:val="0"/>
      <w:marBottom w:val="0"/>
      <w:divBdr>
        <w:top w:val="none" w:sz="0" w:space="0" w:color="auto"/>
        <w:left w:val="none" w:sz="0" w:space="0" w:color="auto"/>
        <w:bottom w:val="none" w:sz="0" w:space="0" w:color="auto"/>
        <w:right w:val="none" w:sz="0" w:space="0" w:color="auto"/>
      </w:divBdr>
    </w:div>
    <w:div w:id="20322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48D3A-974E-4031-B30F-6142948BAD24}">
  <ds:schemaRefs>
    <ds:schemaRef ds:uri="http://schemas.openxmlformats.org/officeDocument/2006/bibliography"/>
  </ds:schemaRefs>
</ds:datastoreItem>
</file>

<file path=customXml/itemProps2.xml><?xml version="1.0" encoding="utf-8"?>
<ds:datastoreItem xmlns:ds="http://schemas.openxmlformats.org/officeDocument/2006/customXml" ds:itemID="{EBC3DBC5-EF95-438D-8A79-81EC4E08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2758</Words>
  <Characters>15724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SOAH DOCKET NO</vt:lpstr>
    </vt:vector>
  </TitlesOfParts>
  <Company>Andrews Kurth LLP</Company>
  <LinksUpToDate>false</LinksUpToDate>
  <CharactersWithSpaces>18446</CharactersWithSpaces>
  <SharedDoc>false</SharedDoc>
  <HLinks>
    <vt:vector size="246" baseType="variant">
      <vt:variant>
        <vt:i4>2293838</vt:i4>
      </vt:variant>
      <vt:variant>
        <vt:i4>246</vt:i4>
      </vt:variant>
      <vt:variant>
        <vt:i4>0</vt:i4>
      </vt:variant>
      <vt:variant>
        <vt:i4>5</vt:i4>
      </vt:variant>
      <vt:variant>
        <vt:lpwstr>http://www.entergy-texas.com/content/price/tariffs/eti_lqf.pdf</vt:lpwstr>
      </vt:variant>
      <vt:variant>
        <vt:lpwstr/>
      </vt:variant>
      <vt:variant>
        <vt:i4>1900598</vt:i4>
      </vt:variant>
      <vt:variant>
        <vt:i4>239</vt:i4>
      </vt:variant>
      <vt:variant>
        <vt:i4>0</vt:i4>
      </vt:variant>
      <vt:variant>
        <vt:i4>5</vt:i4>
      </vt:variant>
      <vt:variant>
        <vt:lpwstr/>
      </vt:variant>
      <vt:variant>
        <vt:lpwstr>_Toc262458309</vt:lpwstr>
      </vt:variant>
      <vt:variant>
        <vt:i4>1900598</vt:i4>
      </vt:variant>
      <vt:variant>
        <vt:i4>233</vt:i4>
      </vt:variant>
      <vt:variant>
        <vt:i4>0</vt:i4>
      </vt:variant>
      <vt:variant>
        <vt:i4>5</vt:i4>
      </vt:variant>
      <vt:variant>
        <vt:lpwstr/>
      </vt:variant>
      <vt:variant>
        <vt:lpwstr>_Toc262458308</vt:lpwstr>
      </vt:variant>
      <vt:variant>
        <vt:i4>1900598</vt:i4>
      </vt:variant>
      <vt:variant>
        <vt:i4>227</vt:i4>
      </vt:variant>
      <vt:variant>
        <vt:i4>0</vt:i4>
      </vt:variant>
      <vt:variant>
        <vt:i4>5</vt:i4>
      </vt:variant>
      <vt:variant>
        <vt:lpwstr/>
      </vt:variant>
      <vt:variant>
        <vt:lpwstr>_Toc262458307</vt:lpwstr>
      </vt:variant>
      <vt:variant>
        <vt:i4>1900598</vt:i4>
      </vt:variant>
      <vt:variant>
        <vt:i4>221</vt:i4>
      </vt:variant>
      <vt:variant>
        <vt:i4>0</vt:i4>
      </vt:variant>
      <vt:variant>
        <vt:i4>5</vt:i4>
      </vt:variant>
      <vt:variant>
        <vt:lpwstr/>
      </vt:variant>
      <vt:variant>
        <vt:lpwstr>_Toc262458306</vt:lpwstr>
      </vt:variant>
      <vt:variant>
        <vt:i4>1900598</vt:i4>
      </vt:variant>
      <vt:variant>
        <vt:i4>215</vt:i4>
      </vt:variant>
      <vt:variant>
        <vt:i4>0</vt:i4>
      </vt:variant>
      <vt:variant>
        <vt:i4>5</vt:i4>
      </vt:variant>
      <vt:variant>
        <vt:lpwstr/>
      </vt:variant>
      <vt:variant>
        <vt:lpwstr>_Toc262458305</vt:lpwstr>
      </vt:variant>
      <vt:variant>
        <vt:i4>1900598</vt:i4>
      </vt:variant>
      <vt:variant>
        <vt:i4>209</vt:i4>
      </vt:variant>
      <vt:variant>
        <vt:i4>0</vt:i4>
      </vt:variant>
      <vt:variant>
        <vt:i4>5</vt:i4>
      </vt:variant>
      <vt:variant>
        <vt:lpwstr/>
      </vt:variant>
      <vt:variant>
        <vt:lpwstr>_Toc262458304</vt:lpwstr>
      </vt:variant>
      <vt:variant>
        <vt:i4>1900598</vt:i4>
      </vt:variant>
      <vt:variant>
        <vt:i4>203</vt:i4>
      </vt:variant>
      <vt:variant>
        <vt:i4>0</vt:i4>
      </vt:variant>
      <vt:variant>
        <vt:i4>5</vt:i4>
      </vt:variant>
      <vt:variant>
        <vt:lpwstr/>
      </vt:variant>
      <vt:variant>
        <vt:lpwstr>_Toc262458303</vt:lpwstr>
      </vt:variant>
      <vt:variant>
        <vt:i4>1900598</vt:i4>
      </vt:variant>
      <vt:variant>
        <vt:i4>197</vt:i4>
      </vt:variant>
      <vt:variant>
        <vt:i4>0</vt:i4>
      </vt:variant>
      <vt:variant>
        <vt:i4>5</vt:i4>
      </vt:variant>
      <vt:variant>
        <vt:lpwstr/>
      </vt:variant>
      <vt:variant>
        <vt:lpwstr>_Toc262458302</vt:lpwstr>
      </vt:variant>
      <vt:variant>
        <vt:i4>1900598</vt:i4>
      </vt:variant>
      <vt:variant>
        <vt:i4>191</vt:i4>
      </vt:variant>
      <vt:variant>
        <vt:i4>0</vt:i4>
      </vt:variant>
      <vt:variant>
        <vt:i4>5</vt:i4>
      </vt:variant>
      <vt:variant>
        <vt:lpwstr/>
      </vt:variant>
      <vt:variant>
        <vt:lpwstr>_Toc262458301</vt:lpwstr>
      </vt:variant>
      <vt:variant>
        <vt:i4>1900598</vt:i4>
      </vt:variant>
      <vt:variant>
        <vt:i4>185</vt:i4>
      </vt:variant>
      <vt:variant>
        <vt:i4>0</vt:i4>
      </vt:variant>
      <vt:variant>
        <vt:i4>5</vt:i4>
      </vt:variant>
      <vt:variant>
        <vt:lpwstr/>
      </vt:variant>
      <vt:variant>
        <vt:lpwstr>_Toc262458300</vt:lpwstr>
      </vt:variant>
      <vt:variant>
        <vt:i4>1310775</vt:i4>
      </vt:variant>
      <vt:variant>
        <vt:i4>179</vt:i4>
      </vt:variant>
      <vt:variant>
        <vt:i4>0</vt:i4>
      </vt:variant>
      <vt:variant>
        <vt:i4>5</vt:i4>
      </vt:variant>
      <vt:variant>
        <vt:lpwstr/>
      </vt:variant>
      <vt:variant>
        <vt:lpwstr>_Toc262458299</vt:lpwstr>
      </vt:variant>
      <vt:variant>
        <vt:i4>1310775</vt:i4>
      </vt:variant>
      <vt:variant>
        <vt:i4>173</vt:i4>
      </vt:variant>
      <vt:variant>
        <vt:i4>0</vt:i4>
      </vt:variant>
      <vt:variant>
        <vt:i4>5</vt:i4>
      </vt:variant>
      <vt:variant>
        <vt:lpwstr/>
      </vt:variant>
      <vt:variant>
        <vt:lpwstr>_Toc262458298</vt:lpwstr>
      </vt:variant>
      <vt:variant>
        <vt:i4>1310775</vt:i4>
      </vt:variant>
      <vt:variant>
        <vt:i4>167</vt:i4>
      </vt:variant>
      <vt:variant>
        <vt:i4>0</vt:i4>
      </vt:variant>
      <vt:variant>
        <vt:i4>5</vt:i4>
      </vt:variant>
      <vt:variant>
        <vt:lpwstr/>
      </vt:variant>
      <vt:variant>
        <vt:lpwstr>_Toc262458297</vt:lpwstr>
      </vt:variant>
      <vt:variant>
        <vt:i4>1310775</vt:i4>
      </vt:variant>
      <vt:variant>
        <vt:i4>161</vt:i4>
      </vt:variant>
      <vt:variant>
        <vt:i4>0</vt:i4>
      </vt:variant>
      <vt:variant>
        <vt:i4>5</vt:i4>
      </vt:variant>
      <vt:variant>
        <vt:lpwstr/>
      </vt:variant>
      <vt:variant>
        <vt:lpwstr>_Toc262458296</vt:lpwstr>
      </vt:variant>
      <vt:variant>
        <vt:i4>1310775</vt:i4>
      </vt:variant>
      <vt:variant>
        <vt:i4>155</vt:i4>
      </vt:variant>
      <vt:variant>
        <vt:i4>0</vt:i4>
      </vt:variant>
      <vt:variant>
        <vt:i4>5</vt:i4>
      </vt:variant>
      <vt:variant>
        <vt:lpwstr/>
      </vt:variant>
      <vt:variant>
        <vt:lpwstr>_Toc262458295</vt:lpwstr>
      </vt:variant>
      <vt:variant>
        <vt:i4>1310775</vt:i4>
      </vt:variant>
      <vt:variant>
        <vt:i4>149</vt:i4>
      </vt:variant>
      <vt:variant>
        <vt:i4>0</vt:i4>
      </vt:variant>
      <vt:variant>
        <vt:i4>5</vt:i4>
      </vt:variant>
      <vt:variant>
        <vt:lpwstr/>
      </vt:variant>
      <vt:variant>
        <vt:lpwstr>_Toc262458294</vt:lpwstr>
      </vt:variant>
      <vt:variant>
        <vt:i4>1310775</vt:i4>
      </vt:variant>
      <vt:variant>
        <vt:i4>143</vt:i4>
      </vt:variant>
      <vt:variant>
        <vt:i4>0</vt:i4>
      </vt:variant>
      <vt:variant>
        <vt:i4>5</vt:i4>
      </vt:variant>
      <vt:variant>
        <vt:lpwstr/>
      </vt:variant>
      <vt:variant>
        <vt:lpwstr>_Toc262458293</vt:lpwstr>
      </vt:variant>
      <vt:variant>
        <vt:i4>1310775</vt:i4>
      </vt:variant>
      <vt:variant>
        <vt:i4>137</vt:i4>
      </vt:variant>
      <vt:variant>
        <vt:i4>0</vt:i4>
      </vt:variant>
      <vt:variant>
        <vt:i4>5</vt:i4>
      </vt:variant>
      <vt:variant>
        <vt:lpwstr/>
      </vt:variant>
      <vt:variant>
        <vt:lpwstr>_Toc262458292</vt:lpwstr>
      </vt:variant>
      <vt:variant>
        <vt:i4>1310775</vt:i4>
      </vt:variant>
      <vt:variant>
        <vt:i4>131</vt:i4>
      </vt:variant>
      <vt:variant>
        <vt:i4>0</vt:i4>
      </vt:variant>
      <vt:variant>
        <vt:i4>5</vt:i4>
      </vt:variant>
      <vt:variant>
        <vt:lpwstr/>
      </vt:variant>
      <vt:variant>
        <vt:lpwstr>_Toc262458291</vt:lpwstr>
      </vt:variant>
      <vt:variant>
        <vt:i4>1310775</vt:i4>
      </vt:variant>
      <vt:variant>
        <vt:i4>125</vt:i4>
      </vt:variant>
      <vt:variant>
        <vt:i4>0</vt:i4>
      </vt:variant>
      <vt:variant>
        <vt:i4>5</vt:i4>
      </vt:variant>
      <vt:variant>
        <vt:lpwstr/>
      </vt:variant>
      <vt:variant>
        <vt:lpwstr>_Toc262458290</vt:lpwstr>
      </vt:variant>
      <vt:variant>
        <vt:i4>1376311</vt:i4>
      </vt:variant>
      <vt:variant>
        <vt:i4>119</vt:i4>
      </vt:variant>
      <vt:variant>
        <vt:i4>0</vt:i4>
      </vt:variant>
      <vt:variant>
        <vt:i4>5</vt:i4>
      </vt:variant>
      <vt:variant>
        <vt:lpwstr/>
      </vt:variant>
      <vt:variant>
        <vt:lpwstr>_Toc262458289</vt:lpwstr>
      </vt:variant>
      <vt:variant>
        <vt:i4>1376311</vt:i4>
      </vt:variant>
      <vt:variant>
        <vt:i4>113</vt:i4>
      </vt:variant>
      <vt:variant>
        <vt:i4>0</vt:i4>
      </vt:variant>
      <vt:variant>
        <vt:i4>5</vt:i4>
      </vt:variant>
      <vt:variant>
        <vt:lpwstr/>
      </vt:variant>
      <vt:variant>
        <vt:lpwstr>_Toc262458288</vt:lpwstr>
      </vt:variant>
      <vt:variant>
        <vt:i4>1376311</vt:i4>
      </vt:variant>
      <vt:variant>
        <vt:i4>107</vt:i4>
      </vt:variant>
      <vt:variant>
        <vt:i4>0</vt:i4>
      </vt:variant>
      <vt:variant>
        <vt:i4>5</vt:i4>
      </vt:variant>
      <vt:variant>
        <vt:lpwstr/>
      </vt:variant>
      <vt:variant>
        <vt:lpwstr>_Toc262458287</vt:lpwstr>
      </vt:variant>
      <vt:variant>
        <vt:i4>1048625</vt:i4>
      </vt:variant>
      <vt:variant>
        <vt:i4>98</vt:i4>
      </vt:variant>
      <vt:variant>
        <vt:i4>0</vt:i4>
      </vt:variant>
      <vt:variant>
        <vt:i4>5</vt:i4>
      </vt:variant>
      <vt:variant>
        <vt:lpwstr/>
      </vt:variant>
      <vt:variant>
        <vt:lpwstr>_Toc263340427</vt:lpwstr>
      </vt:variant>
      <vt:variant>
        <vt:i4>1048625</vt:i4>
      </vt:variant>
      <vt:variant>
        <vt:i4>92</vt:i4>
      </vt:variant>
      <vt:variant>
        <vt:i4>0</vt:i4>
      </vt:variant>
      <vt:variant>
        <vt:i4>5</vt:i4>
      </vt:variant>
      <vt:variant>
        <vt:lpwstr/>
      </vt:variant>
      <vt:variant>
        <vt:lpwstr>_Toc263340426</vt:lpwstr>
      </vt:variant>
      <vt:variant>
        <vt:i4>1048625</vt:i4>
      </vt:variant>
      <vt:variant>
        <vt:i4>86</vt:i4>
      </vt:variant>
      <vt:variant>
        <vt:i4>0</vt:i4>
      </vt:variant>
      <vt:variant>
        <vt:i4>5</vt:i4>
      </vt:variant>
      <vt:variant>
        <vt:lpwstr/>
      </vt:variant>
      <vt:variant>
        <vt:lpwstr>_Toc263340425</vt:lpwstr>
      </vt:variant>
      <vt:variant>
        <vt:i4>1048625</vt:i4>
      </vt:variant>
      <vt:variant>
        <vt:i4>80</vt:i4>
      </vt:variant>
      <vt:variant>
        <vt:i4>0</vt:i4>
      </vt:variant>
      <vt:variant>
        <vt:i4>5</vt:i4>
      </vt:variant>
      <vt:variant>
        <vt:lpwstr/>
      </vt:variant>
      <vt:variant>
        <vt:lpwstr>_Toc263340424</vt:lpwstr>
      </vt:variant>
      <vt:variant>
        <vt:i4>1048625</vt:i4>
      </vt:variant>
      <vt:variant>
        <vt:i4>74</vt:i4>
      </vt:variant>
      <vt:variant>
        <vt:i4>0</vt:i4>
      </vt:variant>
      <vt:variant>
        <vt:i4>5</vt:i4>
      </vt:variant>
      <vt:variant>
        <vt:lpwstr/>
      </vt:variant>
      <vt:variant>
        <vt:lpwstr>_Toc263340423</vt:lpwstr>
      </vt:variant>
      <vt:variant>
        <vt:i4>1048625</vt:i4>
      </vt:variant>
      <vt:variant>
        <vt:i4>68</vt:i4>
      </vt:variant>
      <vt:variant>
        <vt:i4>0</vt:i4>
      </vt:variant>
      <vt:variant>
        <vt:i4>5</vt:i4>
      </vt:variant>
      <vt:variant>
        <vt:lpwstr/>
      </vt:variant>
      <vt:variant>
        <vt:lpwstr>_Toc263340422</vt:lpwstr>
      </vt:variant>
      <vt:variant>
        <vt:i4>1048625</vt:i4>
      </vt:variant>
      <vt:variant>
        <vt:i4>62</vt:i4>
      </vt:variant>
      <vt:variant>
        <vt:i4>0</vt:i4>
      </vt:variant>
      <vt:variant>
        <vt:i4>5</vt:i4>
      </vt:variant>
      <vt:variant>
        <vt:lpwstr/>
      </vt:variant>
      <vt:variant>
        <vt:lpwstr>_Toc263340421</vt:lpwstr>
      </vt:variant>
      <vt:variant>
        <vt:i4>1048625</vt:i4>
      </vt:variant>
      <vt:variant>
        <vt:i4>56</vt:i4>
      </vt:variant>
      <vt:variant>
        <vt:i4>0</vt:i4>
      </vt:variant>
      <vt:variant>
        <vt:i4>5</vt:i4>
      </vt:variant>
      <vt:variant>
        <vt:lpwstr/>
      </vt:variant>
      <vt:variant>
        <vt:lpwstr>_Toc263340420</vt:lpwstr>
      </vt:variant>
      <vt:variant>
        <vt:i4>1245233</vt:i4>
      </vt:variant>
      <vt:variant>
        <vt:i4>50</vt:i4>
      </vt:variant>
      <vt:variant>
        <vt:i4>0</vt:i4>
      </vt:variant>
      <vt:variant>
        <vt:i4>5</vt:i4>
      </vt:variant>
      <vt:variant>
        <vt:lpwstr/>
      </vt:variant>
      <vt:variant>
        <vt:lpwstr>_Toc263340419</vt:lpwstr>
      </vt:variant>
      <vt:variant>
        <vt:i4>1245233</vt:i4>
      </vt:variant>
      <vt:variant>
        <vt:i4>44</vt:i4>
      </vt:variant>
      <vt:variant>
        <vt:i4>0</vt:i4>
      </vt:variant>
      <vt:variant>
        <vt:i4>5</vt:i4>
      </vt:variant>
      <vt:variant>
        <vt:lpwstr/>
      </vt:variant>
      <vt:variant>
        <vt:lpwstr>_Toc263340418</vt:lpwstr>
      </vt:variant>
      <vt:variant>
        <vt:i4>1245233</vt:i4>
      </vt:variant>
      <vt:variant>
        <vt:i4>38</vt:i4>
      </vt:variant>
      <vt:variant>
        <vt:i4>0</vt:i4>
      </vt:variant>
      <vt:variant>
        <vt:i4>5</vt:i4>
      </vt:variant>
      <vt:variant>
        <vt:lpwstr/>
      </vt:variant>
      <vt:variant>
        <vt:lpwstr>_Toc263340417</vt:lpwstr>
      </vt:variant>
      <vt:variant>
        <vt:i4>1245233</vt:i4>
      </vt:variant>
      <vt:variant>
        <vt:i4>32</vt:i4>
      </vt:variant>
      <vt:variant>
        <vt:i4>0</vt:i4>
      </vt:variant>
      <vt:variant>
        <vt:i4>5</vt:i4>
      </vt:variant>
      <vt:variant>
        <vt:lpwstr/>
      </vt:variant>
      <vt:variant>
        <vt:lpwstr>_Toc263340416</vt:lpwstr>
      </vt:variant>
      <vt:variant>
        <vt:i4>1245233</vt:i4>
      </vt:variant>
      <vt:variant>
        <vt:i4>26</vt:i4>
      </vt:variant>
      <vt:variant>
        <vt:i4>0</vt:i4>
      </vt:variant>
      <vt:variant>
        <vt:i4>5</vt:i4>
      </vt:variant>
      <vt:variant>
        <vt:lpwstr/>
      </vt:variant>
      <vt:variant>
        <vt:lpwstr>_Toc263340415</vt:lpwstr>
      </vt:variant>
      <vt:variant>
        <vt:i4>1245233</vt:i4>
      </vt:variant>
      <vt:variant>
        <vt:i4>20</vt:i4>
      </vt:variant>
      <vt:variant>
        <vt:i4>0</vt:i4>
      </vt:variant>
      <vt:variant>
        <vt:i4>5</vt:i4>
      </vt:variant>
      <vt:variant>
        <vt:lpwstr/>
      </vt:variant>
      <vt:variant>
        <vt:lpwstr>_Toc263340414</vt:lpwstr>
      </vt:variant>
      <vt:variant>
        <vt:i4>1245233</vt:i4>
      </vt:variant>
      <vt:variant>
        <vt:i4>14</vt:i4>
      </vt:variant>
      <vt:variant>
        <vt:i4>0</vt:i4>
      </vt:variant>
      <vt:variant>
        <vt:i4>5</vt:i4>
      </vt:variant>
      <vt:variant>
        <vt:lpwstr/>
      </vt:variant>
      <vt:variant>
        <vt:lpwstr>_Toc263340413</vt:lpwstr>
      </vt:variant>
      <vt:variant>
        <vt:i4>1245233</vt:i4>
      </vt:variant>
      <vt:variant>
        <vt:i4>8</vt:i4>
      </vt:variant>
      <vt:variant>
        <vt:i4>0</vt:i4>
      </vt:variant>
      <vt:variant>
        <vt:i4>5</vt:i4>
      </vt:variant>
      <vt:variant>
        <vt:lpwstr/>
      </vt:variant>
      <vt:variant>
        <vt:lpwstr>_Toc263340412</vt:lpwstr>
      </vt:variant>
      <vt:variant>
        <vt:i4>1245233</vt:i4>
      </vt:variant>
      <vt:variant>
        <vt:i4>2</vt:i4>
      </vt:variant>
      <vt:variant>
        <vt:i4>0</vt:i4>
      </vt:variant>
      <vt:variant>
        <vt:i4>5</vt:i4>
      </vt:variant>
      <vt:variant>
        <vt:lpwstr/>
      </vt:variant>
      <vt:variant>
        <vt:lpwstr>_Toc263340411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Carrick Brooke-Davidson</dc:creator>
  <cp:lastModifiedBy>Kitty A. Turner</cp:lastModifiedBy>
  <cp:revision>4</cp:revision>
  <cp:lastPrinted>2015-11-02T21:46:00Z</cp:lastPrinted>
  <dcterms:created xsi:type="dcterms:W3CDTF">2015-11-02T21:45:00Z</dcterms:created>
  <dcterms:modified xsi:type="dcterms:W3CDTF">2015-11-02T23:04:00Z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dded">
    <vt:lpwstr>1</vt:lpwstr>
  </property>
  <property fmtid="{D5CDD505-2E9C-101B-9397-08002B2CF9AE}" pid="3" name="Cus_DocIDValue">
    <vt:lpwstr>AUS:629039.3 </vt:lpwstr>
  </property>
  <property fmtid="{D5CDD505-2E9C-101B-9397-08002B2CF9AE}" pid="4" name="_DocHome">
    <vt:i4>-352301134</vt:i4>
  </property>
</Properties>
</file>